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right="2" w:rightChars="1"/>
        <w:jc w:val="center"/>
        <w:rPr>
          <w:rFonts w:hint="eastAsia" w:ascii="仿宋" w:hAnsi="仿宋" w:eastAsia="仿宋" w:cs="仿宋"/>
          <w:b/>
          <w:sz w:val="44"/>
          <w:szCs w:val="44"/>
          <w:highlight w:val="none"/>
          <w:lang w:eastAsia="zh-CN"/>
        </w:rPr>
      </w:pPr>
      <w:r>
        <w:rPr>
          <w:rFonts w:hint="eastAsia" w:ascii="仿宋" w:hAnsi="仿宋" w:eastAsia="仿宋" w:cs="仿宋"/>
          <w:b/>
          <w:sz w:val="44"/>
          <w:szCs w:val="44"/>
          <w:highlight w:val="none"/>
        </w:rPr>
        <w:t>酒钢集团宏兴钢铁股份有限公司</w:t>
      </w:r>
      <w:r>
        <w:rPr>
          <w:rFonts w:hint="eastAsia" w:ascii="仿宋" w:hAnsi="仿宋" w:eastAsia="仿宋" w:cs="仿宋"/>
          <w:b/>
          <w:sz w:val="44"/>
          <w:szCs w:val="44"/>
          <w:highlight w:val="none"/>
          <w:lang w:eastAsia="zh-CN"/>
        </w:rPr>
        <w:t>炼铁厂</w:t>
      </w:r>
    </w:p>
    <w:p>
      <w:pPr>
        <w:snapToGrid w:val="0"/>
        <w:spacing w:line="360" w:lineRule="auto"/>
        <w:ind w:right="-447"/>
        <w:jc w:val="center"/>
        <w:rPr>
          <w:rFonts w:hint="eastAsia" w:ascii="宋体" w:hAnsi="宋体"/>
          <w:b/>
          <w:sz w:val="36"/>
          <w:szCs w:val="48"/>
          <w:highlight w:val="none"/>
          <w:lang w:val="en-US" w:eastAsia="zh-CN"/>
        </w:rPr>
      </w:pPr>
      <w:r>
        <w:rPr>
          <w:rFonts w:hint="eastAsia" w:ascii="宋体" w:hAnsi="宋体"/>
          <w:b/>
          <w:sz w:val="36"/>
          <w:szCs w:val="48"/>
          <w:highlight w:val="none"/>
          <w:lang w:val="en-US" w:eastAsia="zh-CN"/>
        </w:rPr>
        <w:t>265㎡烧结机圆盘给料机减速机\斜齿轮 QNLJ-203N 90 37kW 1470r/min 15～60rpm（70146992）</w:t>
      </w:r>
    </w:p>
    <w:p>
      <w:pPr>
        <w:snapToGrid w:val="0"/>
        <w:spacing w:line="360" w:lineRule="auto"/>
        <w:ind w:right="-447"/>
        <w:jc w:val="center"/>
        <w:rPr>
          <w:rFonts w:hint="eastAsia" w:ascii="仿宋" w:hAnsi="仿宋" w:eastAsia="仿宋" w:cs="仿宋"/>
          <w:b/>
          <w:sz w:val="36"/>
          <w:szCs w:val="48"/>
          <w:highlight w:val="none"/>
          <w:lang w:eastAsia="zh-CN"/>
        </w:rPr>
      </w:pPr>
      <w:r>
        <w:rPr>
          <w:rFonts w:hint="eastAsia" w:ascii="仿宋" w:hAnsi="仿宋" w:eastAsia="仿宋" w:cs="仿宋"/>
          <w:b/>
          <w:sz w:val="36"/>
          <w:szCs w:val="48"/>
          <w:highlight w:val="none"/>
        </w:rPr>
        <w:t>采购技术</w:t>
      </w:r>
      <w:r>
        <w:rPr>
          <w:rFonts w:hint="eastAsia" w:ascii="仿宋" w:hAnsi="仿宋" w:eastAsia="仿宋" w:cs="仿宋"/>
          <w:b/>
          <w:sz w:val="36"/>
          <w:szCs w:val="48"/>
          <w:highlight w:val="none"/>
          <w:lang w:val="en-US" w:eastAsia="zh-CN"/>
        </w:rPr>
        <w:t>规格书</w:t>
      </w:r>
    </w:p>
    <w:p>
      <w:pPr>
        <w:snapToGrid w:val="0"/>
        <w:spacing w:line="360" w:lineRule="auto"/>
        <w:ind w:right="-447"/>
        <w:jc w:val="center"/>
        <w:rPr>
          <w:rFonts w:hint="eastAsia" w:ascii="仿宋" w:hAnsi="仿宋" w:eastAsia="仿宋" w:cs="仿宋"/>
          <w:b/>
          <w:sz w:val="36"/>
          <w:szCs w:val="48"/>
          <w:highlight w:val="none"/>
        </w:rPr>
      </w:pPr>
    </w:p>
    <w:p>
      <w:pPr>
        <w:snapToGrid w:val="0"/>
        <w:spacing w:line="360" w:lineRule="auto"/>
        <w:ind w:right="-447"/>
        <w:jc w:val="center"/>
        <w:rPr>
          <w:rFonts w:hint="eastAsia" w:ascii="仿宋" w:hAnsi="仿宋" w:eastAsia="仿宋" w:cs="仿宋"/>
          <w:b/>
          <w:sz w:val="36"/>
          <w:szCs w:val="48"/>
          <w:highlight w:val="none"/>
        </w:rPr>
      </w:pPr>
    </w:p>
    <w:p>
      <w:pPr>
        <w:snapToGrid w:val="0"/>
        <w:spacing w:line="360" w:lineRule="auto"/>
        <w:ind w:right="-447"/>
        <w:jc w:val="center"/>
        <w:rPr>
          <w:rFonts w:hint="eastAsia" w:ascii="仿宋" w:hAnsi="仿宋" w:eastAsia="仿宋" w:cs="仿宋"/>
          <w:b/>
          <w:sz w:val="36"/>
          <w:szCs w:val="48"/>
          <w:highlight w:val="none"/>
        </w:rPr>
      </w:pPr>
    </w:p>
    <w:p>
      <w:pPr>
        <w:snapToGrid w:val="0"/>
        <w:spacing w:line="360" w:lineRule="auto"/>
        <w:ind w:right="-447"/>
        <w:jc w:val="center"/>
        <w:rPr>
          <w:rFonts w:hint="eastAsia" w:ascii="仿宋" w:hAnsi="仿宋" w:eastAsia="仿宋" w:cs="仿宋"/>
          <w:b/>
          <w:sz w:val="36"/>
          <w:szCs w:val="48"/>
          <w:highlight w:val="none"/>
        </w:rPr>
      </w:pPr>
    </w:p>
    <w:p>
      <w:pPr>
        <w:snapToGrid w:val="0"/>
        <w:spacing w:line="360" w:lineRule="auto"/>
        <w:ind w:right="2" w:rightChars="1" w:firstLine="703" w:firstLineChars="250"/>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甲方：甘肃酒钢集团宏兴钢铁股份有限公司</w:t>
      </w:r>
      <w:r>
        <w:rPr>
          <w:rFonts w:hint="eastAsia" w:ascii="仿宋" w:hAnsi="仿宋" w:eastAsia="仿宋" w:cs="仿宋"/>
          <w:b/>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sz w:val="28"/>
          <w:szCs w:val="28"/>
          <w:highlight w:val="none"/>
        </w:rPr>
      </w:pPr>
      <w:r>
        <w:rPr>
          <w:rFonts w:hint="eastAsia" w:ascii="仿宋" w:hAnsi="仿宋" w:eastAsia="仿宋" w:cs="仿宋"/>
          <w:b/>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sz w:val="28"/>
          <w:szCs w:val="28"/>
          <w:highlight w:val="none"/>
        </w:rPr>
      </w:pPr>
      <w:r>
        <w:rPr>
          <w:rFonts w:hint="eastAsia" w:ascii="仿宋" w:hAnsi="仿宋" w:eastAsia="仿宋" w:cs="仿宋"/>
          <w:b/>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sz w:val="32"/>
          <w:szCs w:val="32"/>
          <w:highlight w:val="none"/>
        </w:rPr>
      </w:pPr>
    </w:p>
    <w:p>
      <w:pPr>
        <w:snapToGrid w:val="0"/>
        <w:spacing w:before="100" w:beforeAutospacing="1" w:after="100" w:afterAutospacing="1" w:line="360" w:lineRule="auto"/>
        <w:ind w:right="-447" w:firstLine="1349" w:firstLineChars="420"/>
        <w:rPr>
          <w:rFonts w:hint="eastAsia" w:ascii="仿宋" w:hAnsi="仿宋" w:eastAsia="仿宋" w:cs="仿宋"/>
          <w:b/>
          <w:sz w:val="32"/>
          <w:szCs w:val="32"/>
          <w:highlight w:val="none"/>
        </w:rPr>
      </w:pPr>
    </w:p>
    <w:p>
      <w:pPr>
        <w:snapToGrid w:val="0"/>
        <w:spacing w:before="100" w:beforeAutospacing="1" w:after="100" w:afterAutospacing="1" w:line="360" w:lineRule="auto"/>
        <w:ind w:right="-447" w:firstLine="1349" w:firstLineChars="420"/>
        <w:rPr>
          <w:rFonts w:hint="eastAsia" w:ascii="仿宋" w:hAnsi="仿宋" w:eastAsia="仿宋" w:cs="仿宋"/>
          <w:b/>
          <w:sz w:val="32"/>
          <w:szCs w:val="32"/>
          <w:highlight w:val="none"/>
        </w:rPr>
      </w:pPr>
    </w:p>
    <w:p>
      <w:pPr>
        <w:widowControl/>
        <w:spacing w:before="100" w:beforeAutospacing="1" w:after="100" w:afterAutospacing="1" w:line="360" w:lineRule="auto"/>
        <w:ind w:right="72" w:rightChars="30" w:firstLine="5409" w:firstLineChars="1796"/>
        <w:rPr>
          <w:rFonts w:hint="eastAsia" w:ascii="仿宋" w:hAnsi="仿宋" w:eastAsia="仿宋" w:cs="仿宋"/>
          <w:sz w:val="48"/>
          <w:szCs w:val="48"/>
          <w:highlight w:val="none"/>
        </w:rPr>
      </w:pPr>
      <w:r>
        <w:rPr>
          <w:rFonts w:hint="eastAsia" w:ascii="仿宋" w:hAnsi="仿宋" w:eastAsia="仿宋" w:cs="仿宋"/>
          <w:b/>
          <w:sz w:val="30"/>
          <w:szCs w:val="30"/>
          <w:highlight w:val="none"/>
        </w:rPr>
        <w:t>年 月</w:t>
      </w:r>
      <w:r>
        <w:rPr>
          <w:rFonts w:hint="eastAsia" w:ascii="仿宋" w:hAnsi="仿宋" w:eastAsia="仿宋" w:cs="仿宋"/>
          <w:b/>
          <w:sz w:val="30"/>
          <w:szCs w:val="30"/>
          <w:highlight w:val="none"/>
          <w:lang w:val="en-US" w:eastAsia="zh-CN"/>
        </w:rPr>
        <w:t xml:space="preserve"> </w:t>
      </w:r>
      <w:r>
        <w:rPr>
          <w:rFonts w:hint="eastAsia" w:ascii="仿宋" w:hAnsi="仿宋" w:eastAsia="仿宋" w:cs="仿宋"/>
          <w:b/>
          <w:sz w:val="30"/>
          <w:szCs w:val="30"/>
          <w:highlight w:val="none"/>
        </w:rPr>
        <w:t>日</w:t>
      </w:r>
    </w:p>
    <w:p>
      <w:pPr>
        <w:spacing w:line="360" w:lineRule="auto"/>
        <w:jc w:val="center"/>
        <w:rPr>
          <w:rFonts w:hint="eastAsia" w:ascii="仿宋" w:hAnsi="仿宋" w:eastAsia="仿宋" w:cs="仿宋"/>
          <w:b/>
          <w:sz w:val="36"/>
          <w:szCs w:val="44"/>
          <w:highlight w:val="none"/>
        </w:rPr>
      </w:pPr>
    </w:p>
    <w:p>
      <w:pPr>
        <w:spacing w:line="360" w:lineRule="auto"/>
        <w:rPr>
          <w:rFonts w:hint="eastAsia" w:ascii="仿宋" w:hAnsi="仿宋" w:eastAsia="仿宋" w:cs="仿宋"/>
          <w:bCs/>
          <w:highlight w:val="none"/>
        </w:rPr>
      </w:pPr>
    </w:p>
    <w:p>
      <w:pPr>
        <w:spacing w:line="360" w:lineRule="auto"/>
        <w:rPr>
          <w:rFonts w:hint="eastAsia" w:ascii="仿宋" w:hAnsi="仿宋" w:eastAsia="仿宋" w:cs="仿宋"/>
          <w:bCs/>
          <w:highlight w:val="none"/>
        </w:rPr>
      </w:pPr>
    </w:p>
    <w:p>
      <w:pPr>
        <w:spacing w:line="360" w:lineRule="auto"/>
        <w:ind w:firstLine="3791" w:firstLineChars="1049"/>
        <w:rPr>
          <w:rFonts w:hint="eastAsia" w:ascii="仿宋" w:hAnsi="仿宋" w:eastAsia="仿宋" w:cs="仿宋"/>
          <w:b/>
          <w:sz w:val="36"/>
          <w:szCs w:val="36"/>
          <w:highlight w:val="none"/>
        </w:rPr>
      </w:pPr>
      <w:r>
        <w:rPr>
          <w:rFonts w:hint="eastAsia" w:ascii="仿宋" w:hAnsi="仿宋" w:eastAsia="仿宋" w:cs="仿宋"/>
          <w:b/>
          <w:sz w:val="36"/>
          <w:szCs w:val="36"/>
          <w:highlight w:val="none"/>
        </w:rPr>
        <w:t>目    录</w:t>
      </w:r>
    </w:p>
    <w:p>
      <w:pPr>
        <w:spacing w:line="360" w:lineRule="auto"/>
        <w:ind w:firstLine="3791" w:firstLineChars="1049"/>
        <w:rPr>
          <w:rFonts w:hint="eastAsia" w:ascii="仿宋" w:hAnsi="仿宋" w:eastAsia="仿宋" w:cs="仿宋"/>
          <w:b/>
          <w:sz w:val="36"/>
          <w:szCs w:val="36"/>
          <w:highlight w:val="none"/>
        </w:rPr>
      </w:pPr>
    </w:p>
    <w:p>
      <w:pPr>
        <w:spacing w:before="100" w:beforeAutospacing="1" w:after="100" w:afterAutospacing="1" w:line="480" w:lineRule="auto"/>
        <w:ind w:firstLine="2530" w:firstLineChars="900"/>
        <w:rPr>
          <w:rFonts w:hint="eastAsia" w:ascii="仿宋" w:hAnsi="仿宋" w:eastAsia="仿宋" w:cs="仿宋"/>
          <w:b/>
          <w:sz w:val="28"/>
          <w:szCs w:val="28"/>
          <w:highlight w:val="none"/>
        </w:rPr>
      </w:pPr>
      <w:r>
        <w:rPr>
          <w:rFonts w:hint="eastAsia" w:ascii="仿宋" w:hAnsi="仿宋" w:eastAsia="仿宋" w:cs="仿宋"/>
          <w:b/>
          <w:sz w:val="28"/>
          <w:szCs w:val="28"/>
          <w:highlight w:val="none"/>
        </w:rPr>
        <w:t>附件一    总则</w:t>
      </w:r>
    </w:p>
    <w:p>
      <w:pPr>
        <w:spacing w:before="100" w:beforeAutospacing="1" w:after="100" w:afterAutospacing="1" w:line="480" w:lineRule="auto"/>
        <w:ind w:firstLine="2530" w:firstLineChars="900"/>
        <w:rPr>
          <w:rFonts w:hint="eastAsia" w:ascii="仿宋" w:hAnsi="仿宋" w:eastAsia="仿宋" w:cs="仿宋"/>
          <w:b/>
          <w:sz w:val="28"/>
          <w:szCs w:val="28"/>
          <w:highlight w:val="none"/>
        </w:rPr>
      </w:pPr>
      <w:r>
        <w:rPr>
          <w:rFonts w:hint="eastAsia" w:ascii="仿宋" w:hAnsi="仿宋" w:eastAsia="仿宋" w:cs="仿宋"/>
          <w:b/>
          <w:sz w:val="28"/>
          <w:szCs w:val="28"/>
          <w:highlight w:val="none"/>
        </w:rPr>
        <w:t>附件二    制造要求</w:t>
      </w:r>
    </w:p>
    <w:p>
      <w:pPr>
        <w:spacing w:before="100" w:beforeAutospacing="1" w:after="100" w:afterAutospacing="1" w:line="480" w:lineRule="auto"/>
        <w:ind w:firstLine="2529" w:firstLineChars="926"/>
        <w:rPr>
          <w:rFonts w:hint="eastAsia" w:ascii="仿宋" w:hAnsi="仿宋" w:eastAsia="仿宋" w:cs="仿宋"/>
          <w:b/>
          <w:spacing w:val="-4"/>
          <w:kern w:val="28"/>
          <w:sz w:val="28"/>
          <w:szCs w:val="28"/>
          <w:highlight w:val="none"/>
        </w:rPr>
      </w:pPr>
      <w:r>
        <w:rPr>
          <w:rFonts w:hint="eastAsia" w:ascii="仿宋" w:hAnsi="仿宋" w:eastAsia="仿宋" w:cs="仿宋"/>
          <w:b/>
          <w:spacing w:val="-4"/>
          <w:kern w:val="28"/>
          <w:sz w:val="28"/>
          <w:szCs w:val="28"/>
          <w:highlight w:val="none"/>
        </w:rPr>
        <w:t>附件三    系统设施供货范围</w:t>
      </w:r>
    </w:p>
    <w:p>
      <w:pPr>
        <w:tabs>
          <w:tab w:val="left" w:pos="0"/>
          <w:tab w:val="left" w:pos="900"/>
          <w:tab w:val="left" w:pos="1080"/>
        </w:tabs>
        <w:spacing w:before="100" w:beforeAutospacing="1" w:after="100" w:afterAutospacing="1" w:line="480" w:lineRule="auto"/>
        <w:ind w:firstLine="2530" w:firstLineChars="900"/>
        <w:rPr>
          <w:rFonts w:hint="eastAsia" w:ascii="仿宋" w:hAnsi="仿宋" w:eastAsia="仿宋" w:cs="仿宋"/>
          <w:b/>
          <w:sz w:val="28"/>
          <w:szCs w:val="28"/>
          <w:highlight w:val="none"/>
        </w:rPr>
      </w:pPr>
      <w:r>
        <w:rPr>
          <w:rFonts w:hint="eastAsia" w:ascii="仿宋" w:hAnsi="仿宋" w:eastAsia="仿宋" w:cs="仿宋"/>
          <w:b/>
          <w:sz w:val="28"/>
          <w:szCs w:val="28"/>
          <w:highlight w:val="none"/>
        </w:rPr>
        <w:t>附件四    提供资料</w:t>
      </w:r>
    </w:p>
    <w:p>
      <w:pPr>
        <w:spacing w:before="100" w:beforeAutospacing="1" w:after="100" w:afterAutospacing="1" w:line="480" w:lineRule="auto"/>
        <w:ind w:firstLine="2530" w:firstLineChars="900"/>
        <w:rPr>
          <w:rFonts w:hint="eastAsia" w:ascii="仿宋" w:hAnsi="仿宋" w:eastAsia="仿宋" w:cs="仿宋"/>
          <w:b/>
          <w:sz w:val="28"/>
          <w:szCs w:val="28"/>
          <w:highlight w:val="none"/>
        </w:rPr>
      </w:pPr>
      <w:r>
        <w:rPr>
          <w:rFonts w:hint="eastAsia" w:ascii="仿宋" w:hAnsi="仿宋" w:eastAsia="仿宋" w:cs="仿宋"/>
          <w:b/>
          <w:sz w:val="28"/>
          <w:szCs w:val="28"/>
          <w:highlight w:val="none"/>
        </w:rPr>
        <w:t>附件五    售后服务</w:t>
      </w:r>
    </w:p>
    <w:p>
      <w:pPr>
        <w:tabs>
          <w:tab w:val="left" w:pos="0"/>
          <w:tab w:val="left" w:pos="720"/>
          <w:tab w:val="left" w:pos="900"/>
          <w:tab w:val="left" w:pos="1080"/>
        </w:tabs>
        <w:spacing w:before="100" w:beforeAutospacing="1" w:after="100" w:afterAutospacing="1" w:line="480" w:lineRule="auto"/>
        <w:ind w:firstLine="2530" w:firstLineChars="900"/>
        <w:rPr>
          <w:rFonts w:hint="eastAsia" w:ascii="仿宋" w:hAnsi="仿宋" w:eastAsia="仿宋" w:cs="仿宋"/>
          <w:b/>
          <w:sz w:val="28"/>
          <w:szCs w:val="28"/>
          <w:highlight w:val="none"/>
        </w:rPr>
      </w:pPr>
      <w:r>
        <w:rPr>
          <w:rFonts w:hint="eastAsia" w:ascii="仿宋" w:hAnsi="仿宋" w:eastAsia="仿宋" w:cs="仿宋"/>
          <w:b/>
          <w:sz w:val="28"/>
          <w:szCs w:val="28"/>
          <w:highlight w:val="none"/>
        </w:rPr>
        <w:t>附件六    交货时间及地点</w:t>
      </w:r>
    </w:p>
    <w:p>
      <w:pPr>
        <w:tabs>
          <w:tab w:val="left" w:pos="0"/>
          <w:tab w:val="left" w:pos="720"/>
          <w:tab w:val="left" w:pos="900"/>
          <w:tab w:val="left" w:pos="1080"/>
        </w:tabs>
        <w:spacing w:before="100" w:beforeAutospacing="1" w:after="100" w:afterAutospacing="1" w:line="480" w:lineRule="auto"/>
        <w:ind w:firstLine="2530" w:firstLineChars="900"/>
        <w:rPr>
          <w:rFonts w:hint="eastAsia" w:ascii="仿宋" w:hAnsi="仿宋" w:eastAsia="仿宋" w:cs="仿宋"/>
          <w:b/>
          <w:sz w:val="28"/>
          <w:szCs w:val="28"/>
          <w:highlight w:val="none"/>
        </w:rPr>
      </w:pPr>
      <w:r>
        <w:rPr>
          <w:rFonts w:hint="eastAsia" w:ascii="仿宋" w:hAnsi="仿宋" w:eastAsia="仿宋" w:cs="仿宋"/>
          <w:b/>
          <w:sz w:val="28"/>
          <w:szCs w:val="28"/>
          <w:highlight w:val="none"/>
        </w:rPr>
        <w:t>附件七    其它</w:t>
      </w:r>
    </w:p>
    <w:p>
      <w:pPr>
        <w:snapToGrid w:val="0"/>
        <w:spacing w:line="360" w:lineRule="auto"/>
        <w:ind w:right="-447"/>
        <w:jc w:val="both"/>
        <w:rPr>
          <w:rFonts w:hint="eastAsia" w:ascii="仿宋" w:hAnsi="仿宋" w:eastAsia="仿宋" w:cs="仿宋"/>
          <w:b/>
          <w:sz w:val="28"/>
          <w:szCs w:val="28"/>
          <w:highlight w:val="none"/>
        </w:rPr>
      </w:pPr>
    </w:p>
    <w:p>
      <w:pPr>
        <w:snapToGrid w:val="0"/>
        <w:spacing w:line="360" w:lineRule="auto"/>
        <w:ind w:right="-447"/>
        <w:jc w:val="both"/>
        <w:rPr>
          <w:rFonts w:hint="eastAsia" w:ascii="仿宋" w:hAnsi="仿宋" w:eastAsia="仿宋" w:cs="仿宋"/>
          <w:b/>
          <w:sz w:val="28"/>
          <w:szCs w:val="28"/>
          <w:highlight w:val="none"/>
        </w:rPr>
      </w:pPr>
    </w:p>
    <w:p>
      <w:pPr>
        <w:snapToGrid w:val="0"/>
        <w:spacing w:line="360" w:lineRule="auto"/>
        <w:ind w:right="-447"/>
        <w:jc w:val="both"/>
        <w:rPr>
          <w:rFonts w:hint="eastAsia" w:ascii="仿宋" w:hAnsi="仿宋" w:eastAsia="仿宋" w:cs="仿宋"/>
          <w:b/>
          <w:sz w:val="28"/>
          <w:szCs w:val="28"/>
          <w:highlight w:val="none"/>
        </w:rPr>
      </w:pPr>
    </w:p>
    <w:p>
      <w:pPr>
        <w:snapToGrid w:val="0"/>
        <w:spacing w:line="360" w:lineRule="auto"/>
        <w:ind w:right="-447"/>
        <w:jc w:val="both"/>
        <w:rPr>
          <w:rFonts w:hint="eastAsia" w:ascii="仿宋" w:hAnsi="仿宋" w:eastAsia="仿宋" w:cs="仿宋"/>
          <w:b/>
          <w:sz w:val="28"/>
          <w:szCs w:val="28"/>
          <w:highlight w:val="none"/>
        </w:rPr>
      </w:pPr>
    </w:p>
    <w:p>
      <w:pPr>
        <w:snapToGrid w:val="0"/>
        <w:spacing w:line="360" w:lineRule="auto"/>
        <w:ind w:right="-447"/>
        <w:jc w:val="both"/>
        <w:rPr>
          <w:rFonts w:hint="eastAsia" w:ascii="仿宋" w:hAnsi="仿宋" w:eastAsia="仿宋" w:cs="仿宋"/>
          <w:b/>
          <w:sz w:val="28"/>
          <w:szCs w:val="28"/>
          <w:highlight w:val="none"/>
        </w:rPr>
      </w:pPr>
    </w:p>
    <w:p>
      <w:pPr>
        <w:snapToGrid w:val="0"/>
        <w:spacing w:line="360" w:lineRule="auto"/>
        <w:ind w:right="-447"/>
        <w:jc w:val="both"/>
        <w:rPr>
          <w:rFonts w:hint="eastAsia" w:ascii="仿宋" w:hAnsi="仿宋" w:eastAsia="仿宋" w:cs="仿宋"/>
          <w:b/>
          <w:sz w:val="28"/>
          <w:szCs w:val="28"/>
          <w:highlight w:val="none"/>
        </w:rPr>
      </w:pPr>
    </w:p>
    <w:p>
      <w:pPr>
        <w:snapToGrid w:val="0"/>
        <w:spacing w:line="360" w:lineRule="auto"/>
        <w:ind w:right="-447"/>
        <w:jc w:val="both"/>
        <w:rPr>
          <w:rFonts w:hint="eastAsia" w:ascii="仿宋" w:hAnsi="仿宋" w:eastAsia="仿宋" w:cs="仿宋"/>
          <w:b/>
          <w:sz w:val="28"/>
          <w:szCs w:val="28"/>
          <w:highlight w:val="none"/>
        </w:rPr>
      </w:pPr>
    </w:p>
    <w:p>
      <w:pPr>
        <w:snapToGrid w:val="0"/>
        <w:spacing w:line="360" w:lineRule="auto"/>
        <w:ind w:right="-447"/>
        <w:jc w:val="both"/>
        <w:rPr>
          <w:rFonts w:hint="eastAsia" w:ascii="仿宋" w:hAnsi="仿宋" w:eastAsia="仿宋" w:cs="仿宋"/>
          <w:b/>
          <w:sz w:val="28"/>
          <w:szCs w:val="28"/>
          <w:highlight w:val="none"/>
        </w:rPr>
      </w:pPr>
    </w:p>
    <w:p>
      <w:pPr>
        <w:snapToGrid w:val="0"/>
        <w:spacing w:line="360" w:lineRule="auto"/>
        <w:ind w:right="-447"/>
        <w:jc w:val="both"/>
        <w:rPr>
          <w:rFonts w:hint="eastAsia" w:ascii="仿宋" w:hAnsi="仿宋" w:eastAsia="仿宋" w:cs="仿宋"/>
          <w:b/>
          <w:sz w:val="28"/>
          <w:szCs w:val="28"/>
          <w:highlight w:val="none"/>
        </w:rPr>
      </w:pPr>
    </w:p>
    <w:p>
      <w:pPr>
        <w:snapToGrid w:val="0"/>
        <w:spacing w:line="360" w:lineRule="auto"/>
        <w:ind w:right="-447"/>
        <w:jc w:val="both"/>
        <w:rPr>
          <w:rFonts w:hint="eastAsia" w:ascii="仿宋" w:hAnsi="仿宋" w:eastAsia="仿宋" w:cs="仿宋"/>
          <w:b/>
          <w:sz w:val="28"/>
          <w:szCs w:val="28"/>
          <w:highlight w:val="none"/>
        </w:rPr>
      </w:pPr>
    </w:p>
    <w:p>
      <w:pPr>
        <w:snapToGrid w:val="0"/>
        <w:spacing w:line="360" w:lineRule="auto"/>
        <w:ind w:right="-447"/>
        <w:jc w:val="both"/>
        <w:rPr>
          <w:rFonts w:hint="eastAsia" w:ascii="仿宋" w:hAnsi="仿宋" w:eastAsia="仿宋" w:cs="仿宋"/>
          <w:b/>
          <w:sz w:val="28"/>
          <w:szCs w:val="28"/>
          <w:highlight w:val="none"/>
        </w:rPr>
      </w:pPr>
    </w:p>
    <w:p>
      <w:pPr>
        <w:snapToGrid w:val="0"/>
        <w:spacing w:line="360" w:lineRule="auto"/>
        <w:ind w:right="-15" w:firstLine="525" w:firstLineChars="250"/>
        <w:rPr>
          <w:rFonts w:hint="eastAsia" w:ascii="仿宋" w:hAnsi="仿宋" w:eastAsia="仿宋" w:cs="仿宋"/>
          <w:b/>
          <w:sz w:val="21"/>
          <w:szCs w:val="21"/>
          <w:highlight w:val="none"/>
        </w:rPr>
      </w:pPr>
      <w:r>
        <w:rPr>
          <w:rFonts w:hint="eastAsia" w:ascii="仿宋" w:hAnsi="仿宋" w:eastAsia="仿宋" w:cs="仿宋"/>
          <w:sz w:val="21"/>
          <w:szCs w:val="21"/>
          <w:highlight w:val="none"/>
        </w:rPr>
        <w:t xml:space="preserve">  甘肃酒钢集团宏兴钢铁股份有限公司</w:t>
      </w:r>
      <w:r>
        <w:rPr>
          <w:rFonts w:hint="eastAsia" w:ascii="仿宋" w:hAnsi="仿宋" w:eastAsia="仿宋" w:cs="仿宋"/>
          <w:sz w:val="21"/>
          <w:szCs w:val="21"/>
          <w:highlight w:val="none"/>
          <w:lang w:eastAsia="zh-CN"/>
        </w:rPr>
        <w:t>炼铁厂</w:t>
      </w:r>
      <w:r>
        <w:rPr>
          <w:rFonts w:hint="eastAsia" w:ascii="仿宋" w:hAnsi="仿宋" w:eastAsia="仿宋" w:cs="仿宋"/>
          <w:sz w:val="21"/>
          <w:szCs w:val="21"/>
          <w:highlight w:val="none"/>
        </w:rPr>
        <w:t>（以下称甲方）与</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（以下称乙方）</w:t>
      </w:r>
      <w:r>
        <w:rPr>
          <w:rFonts w:hint="eastAsia" w:ascii="宋体" w:hAnsi="宋体"/>
          <w:sz w:val="21"/>
          <w:szCs w:val="21"/>
          <w:highlight w:val="none"/>
          <w:lang w:val="en-US" w:eastAsia="zh-CN"/>
        </w:rPr>
        <w:t>265㎡烧结机圆盘给料机减速机\斜齿轮 QNLJ-203N 90 37kW 1470r/min 15～60rpm</w:t>
      </w:r>
      <w:r>
        <w:rPr>
          <w:rFonts w:hint="eastAsia" w:ascii="仿宋" w:hAnsi="仿宋" w:eastAsia="仿宋" w:cs="仿宋"/>
          <w:sz w:val="21"/>
          <w:szCs w:val="21"/>
          <w:highlight w:val="none"/>
        </w:rPr>
        <w:t>采购事宜经双方协商，达成如下技术</w:t>
      </w:r>
      <w:r>
        <w:rPr>
          <w:rFonts w:hint="eastAsia" w:ascii="仿宋" w:hAnsi="仿宋" w:eastAsia="仿宋" w:cs="仿宋"/>
          <w:sz w:val="21"/>
          <w:szCs w:val="21"/>
          <w:highlight w:val="none"/>
          <w:lang w:eastAsia="zh-CN"/>
        </w:rPr>
        <w:t>要求</w:t>
      </w:r>
      <w:r>
        <w:rPr>
          <w:rFonts w:hint="eastAsia" w:ascii="仿宋" w:hAnsi="仿宋" w:eastAsia="仿宋" w:cs="仿宋"/>
          <w:sz w:val="21"/>
          <w:szCs w:val="21"/>
          <w:highlight w:val="none"/>
        </w:rPr>
        <w:t>：</w:t>
      </w:r>
    </w:p>
    <w:p>
      <w:pPr>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附件一 总则</w:t>
      </w:r>
    </w:p>
    <w:p>
      <w:pPr>
        <w:tabs>
          <w:tab w:val="left" w:pos="1080"/>
        </w:tabs>
        <w:spacing w:line="360" w:lineRule="auto"/>
        <w:ind w:firstLine="525" w:firstLineChars="250"/>
        <w:rPr>
          <w:rFonts w:hint="eastAsia" w:ascii="仿宋" w:hAnsi="仿宋" w:eastAsia="仿宋" w:cs="仿宋"/>
          <w:sz w:val="21"/>
          <w:szCs w:val="21"/>
          <w:highlight w:val="none"/>
        </w:rPr>
      </w:pPr>
      <w:r>
        <w:rPr>
          <w:rFonts w:hint="eastAsia" w:ascii="仿宋" w:hAnsi="仿宋" w:eastAsia="仿宋" w:cs="仿宋"/>
          <w:sz w:val="21"/>
          <w:szCs w:val="21"/>
          <w:highlight w:val="none"/>
        </w:rPr>
        <w:t>本技术协议作为甲方设备</w:t>
      </w:r>
      <w:r>
        <w:rPr>
          <w:rFonts w:hint="eastAsia" w:ascii="仿宋" w:hAnsi="仿宋" w:eastAsia="仿宋" w:cs="仿宋"/>
          <w:sz w:val="21"/>
          <w:szCs w:val="21"/>
          <w:highlight w:val="none"/>
          <w:lang w:eastAsia="zh-CN"/>
        </w:rPr>
        <w:t>制造</w:t>
      </w:r>
      <w:r>
        <w:rPr>
          <w:rFonts w:hint="eastAsia" w:ascii="仿宋" w:hAnsi="仿宋" w:eastAsia="仿宋" w:cs="仿宋"/>
          <w:sz w:val="21"/>
          <w:szCs w:val="21"/>
          <w:highlight w:val="none"/>
        </w:rPr>
        <w:t>协议的附件，与试用协议同时生效，具有同等法律效力。协议执行期间双方再协商形成的补充协议和追加条款也具有同等法律效力。</w:t>
      </w:r>
    </w:p>
    <w:p>
      <w:pPr>
        <w:numPr>
          <w:ilvl w:val="0"/>
          <w:numId w:val="1"/>
        </w:numPr>
        <w:tabs>
          <w:tab w:val="left" w:pos="540"/>
          <w:tab w:val="left" w:pos="720"/>
          <w:tab w:val="left" w:pos="1080"/>
        </w:tabs>
        <w:adjustRightInd/>
        <w:spacing w:line="360" w:lineRule="auto"/>
        <w:ind w:firstLine="525" w:firstLineChars="25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本技术协议所提出的是最低标准的技术要求，并未对一切技术细节做出规定，也未充分引述有关标准和规范的条文，乙方应保证提供符合有关标准和技术文件的优质产品。</w:t>
      </w:r>
    </w:p>
    <w:p>
      <w:pPr>
        <w:numPr>
          <w:ilvl w:val="0"/>
          <w:numId w:val="1"/>
        </w:numPr>
        <w:tabs>
          <w:tab w:val="left" w:pos="540"/>
          <w:tab w:val="left" w:pos="720"/>
          <w:tab w:val="left" w:pos="1080"/>
        </w:tabs>
        <w:adjustRightInd/>
        <w:spacing w:line="360" w:lineRule="auto"/>
        <w:ind w:firstLine="525" w:firstLineChars="25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乙方提供的设备必须具有国内同行业近几年内的先进制造水平，采用先进工艺，合格材料，成熟的技术或专利技术。</w:t>
      </w:r>
    </w:p>
    <w:p>
      <w:pPr>
        <w:numPr>
          <w:ilvl w:val="0"/>
          <w:numId w:val="1"/>
        </w:numPr>
        <w:tabs>
          <w:tab w:val="left" w:pos="540"/>
          <w:tab w:val="left" w:pos="720"/>
          <w:tab w:val="left" w:pos="1080"/>
        </w:tabs>
        <w:adjustRightInd/>
        <w:spacing w:line="360" w:lineRule="auto"/>
        <w:ind w:firstLine="525" w:firstLineChars="25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乙方提供的设备必须是全新、规范、先进的高质量可靠产品，能够确保连续稳定的工作。</w:t>
      </w:r>
    </w:p>
    <w:p>
      <w:pPr>
        <w:numPr>
          <w:ilvl w:val="0"/>
          <w:numId w:val="1"/>
        </w:numPr>
        <w:tabs>
          <w:tab w:val="left" w:pos="540"/>
          <w:tab w:val="left" w:pos="720"/>
          <w:tab w:val="left" w:pos="1080"/>
        </w:tabs>
        <w:adjustRightInd/>
        <w:spacing w:line="360" w:lineRule="auto"/>
        <w:ind w:firstLine="525" w:firstLineChars="25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乙方提供货物的制造，材料的选择，都应按照国内外通用的现行标准和相应的技术规范执行，而这些标准和技术规范应为协议签字日为止最新公布发行的标准和技术规范。</w:t>
      </w:r>
    </w:p>
    <w:p>
      <w:pPr>
        <w:numPr>
          <w:ilvl w:val="0"/>
          <w:numId w:val="1"/>
        </w:numPr>
        <w:tabs>
          <w:tab w:val="left" w:pos="540"/>
          <w:tab w:val="left" w:pos="720"/>
          <w:tab w:val="left" w:pos="1080"/>
        </w:tabs>
        <w:adjustRightInd/>
        <w:spacing w:line="360" w:lineRule="auto"/>
        <w:ind w:firstLine="525" w:firstLineChars="25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乙方须对本</w:t>
      </w:r>
      <w:r>
        <w:rPr>
          <w:rFonts w:hint="eastAsia" w:ascii="仿宋" w:hAnsi="仿宋" w:eastAsia="仿宋" w:cs="仿宋"/>
          <w:sz w:val="21"/>
          <w:szCs w:val="21"/>
          <w:highlight w:val="none"/>
          <w:lang w:val="en-US" w:eastAsia="zh-CN"/>
        </w:rPr>
        <w:t>265</w:t>
      </w:r>
      <w:r>
        <w:rPr>
          <w:rFonts w:hint="eastAsia" w:ascii="仿宋" w:hAnsi="仿宋" w:eastAsia="仿宋" w:cs="仿宋"/>
          <w:sz w:val="21"/>
          <w:szCs w:val="21"/>
          <w:highlight w:val="none"/>
        </w:rPr>
        <w:t>m2烧结机</w:t>
      </w:r>
      <w:r>
        <w:rPr>
          <w:rFonts w:hint="eastAsia" w:ascii="仿宋" w:hAnsi="仿宋" w:eastAsia="仿宋" w:cs="仿宋"/>
          <w:sz w:val="21"/>
          <w:szCs w:val="21"/>
          <w:highlight w:val="none"/>
          <w:lang w:eastAsia="zh-CN"/>
        </w:rPr>
        <w:t>配套减速机</w:t>
      </w:r>
      <w:r>
        <w:rPr>
          <w:rFonts w:hint="eastAsia" w:ascii="仿宋" w:hAnsi="仿宋" w:eastAsia="仿宋" w:cs="仿宋"/>
          <w:sz w:val="21"/>
          <w:szCs w:val="21"/>
          <w:highlight w:val="none"/>
        </w:rPr>
        <w:t>设计的完整性、合理性和设计质量承担全部责任。保证设备设计满足</w:t>
      </w:r>
      <w:r>
        <w:rPr>
          <w:rFonts w:hint="eastAsia" w:ascii="仿宋" w:hAnsi="仿宋" w:eastAsia="仿宋" w:cs="仿宋"/>
          <w:sz w:val="21"/>
          <w:szCs w:val="21"/>
          <w:highlight w:val="none"/>
          <w:lang w:val="en-US" w:eastAsia="zh-CN"/>
        </w:rPr>
        <w:t>减速机</w:t>
      </w:r>
      <w:r>
        <w:rPr>
          <w:rFonts w:hint="eastAsia" w:ascii="仿宋" w:hAnsi="仿宋" w:eastAsia="仿宋" w:cs="仿宋"/>
          <w:sz w:val="21"/>
          <w:szCs w:val="21"/>
          <w:highlight w:val="none"/>
          <w:lang w:eastAsia="zh-CN"/>
        </w:rPr>
        <w:t>整机</w:t>
      </w:r>
      <w:r>
        <w:rPr>
          <w:rFonts w:hint="eastAsia" w:ascii="仿宋" w:hAnsi="仿宋" w:eastAsia="仿宋" w:cs="仿宋"/>
          <w:sz w:val="21"/>
          <w:szCs w:val="21"/>
          <w:highlight w:val="none"/>
        </w:rPr>
        <w:t>工艺要求。</w:t>
      </w:r>
    </w:p>
    <w:p>
      <w:pPr>
        <w:numPr>
          <w:ilvl w:val="0"/>
          <w:numId w:val="1"/>
        </w:numPr>
        <w:tabs>
          <w:tab w:val="left" w:pos="480"/>
          <w:tab w:val="left" w:pos="540"/>
          <w:tab w:val="left" w:pos="720"/>
          <w:tab w:val="clear" w:pos="0"/>
        </w:tabs>
        <w:adjustRightInd/>
        <w:spacing w:line="360" w:lineRule="auto"/>
        <w:ind w:firstLine="525" w:firstLineChars="25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乙方在协议货物制造中，发生侵犯专利的行为时其侵权责任与甲方无关。</w:t>
      </w:r>
    </w:p>
    <w:p>
      <w:pPr>
        <w:spacing w:line="360" w:lineRule="auto"/>
        <w:ind w:firstLine="210" w:firstLineChars="100"/>
        <w:rPr>
          <w:rFonts w:hint="eastAsia" w:ascii="仿宋" w:hAnsi="仿宋" w:eastAsia="仿宋" w:cs="仿宋"/>
          <w:b w:val="0"/>
          <w:bCs/>
          <w:highlight w:val="none"/>
        </w:rPr>
      </w:pPr>
      <w:r>
        <w:rPr>
          <w:rFonts w:hint="eastAsia" w:ascii="仿宋" w:hAnsi="仿宋" w:eastAsia="仿宋" w:cs="仿宋"/>
          <w:b w:val="0"/>
          <w:bCs/>
          <w:color w:val="0000FF"/>
          <w:sz w:val="21"/>
          <w:szCs w:val="21"/>
          <w:highlight w:val="none"/>
          <w:lang w:val="en-US" w:eastAsia="zh-CN"/>
        </w:rPr>
        <w:t>乙方在投标前，必须与甲方充分技术交流后并签订标签技术协议，方可参标。</w:t>
      </w:r>
    </w:p>
    <w:p>
      <w:pPr>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附件二 制造要求</w:t>
      </w:r>
    </w:p>
    <w:p>
      <w:pPr>
        <w:pStyle w:val="21"/>
        <w:spacing w:line="360" w:lineRule="auto"/>
        <w:jc w:val="left"/>
        <w:rPr>
          <w:rFonts w:hint="eastAsia" w:ascii="仿宋" w:hAnsi="仿宋" w:eastAsia="仿宋" w:cs="仿宋"/>
          <w:kern w:val="0"/>
          <w:sz w:val="21"/>
          <w:szCs w:val="21"/>
          <w:highlight w:val="none"/>
          <w:lang w:val="en-US" w:eastAsia="zh-CN" w:bidi="ar-SA"/>
        </w:rPr>
      </w:pPr>
      <w:r>
        <w:rPr>
          <w:rFonts w:hint="eastAsia" w:ascii="仿宋" w:hAnsi="仿宋" w:eastAsia="仿宋" w:cs="仿宋"/>
          <w:kern w:val="0"/>
          <w:sz w:val="21"/>
          <w:szCs w:val="21"/>
          <w:highlight w:val="none"/>
          <w:lang w:val="en-US" w:eastAsia="zh-CN" w:bidi="ar-SA"/>
        </w:rPr>
        <w:t>2.1圆盘减速机265m2烧结机系统中的关键备件，是保障烧结正常配料的主要备件之一。负载变化频繁、重负荷启动是主要工况要求，减速机各齿轮轴、大小齿抗冲击、抗变形、防齿轮断齿是该减速机的关键技术要求。</w:t>
      </w:r>
    </w:p>
    <w:p>
      <w:pPr>
        <w:pStyle w:val="21"/>
        <w:spacing w:line="360" w:lineRule="auto"/>
        <w:jc w:val="left"/>
        <w:rPr>
          <w:rFonts w:hint="eastAsia" w:ascii="仿宋" w:hAnsi="仿宋" w:eastAsia="仿宋" w:cs="仿宋"/>
          <w:kern w:val="0"/>
          <w:sz w:val="21"/>
          <w:szCs w:val="21"/>
          <w:highlight w:val="none"/>
          <w:lang w:val="en-US" w:eastAsia="zh-CN" w:bidi="ar-SA"/>
        </w:rPr>
      </w:pPr>
      <w:r>
        <w:rPr>
          <w:rFonts w:hint="eastAsia" w:ascii="仿宋" w:hAnsi="仿宋" w:eastAsia="仿宋" w:cs="仿宋"/>
          <w:kern w:val="0"/>
          <w:sz w:val="21"/>
          <w:szCs w:val="21"/>
          <w:highlight w:val="none"/>
          <w:lang w:val="en-US" w:eastAsia="zh-CN" w:bidi="ar-SA"/>
        </w:rPr>
        <w:t xml:space="preserve">2.2工作温度：高温（夏季时环境最高温度40℃） </w:t>
      </w:r>
    </w:p>
    <w:p>
      <w:pPr>
        <w:pStyle w:val="21"/>
        <w:spacing w:line="360" w:lineRule="auto"/>
        <w:jc w:val="left"/>
        <w:rPr>
          <w:rFonts w:hint="eastAsia" w:ascii="仿宋" w:hAnsi="仿宋" w:eastAsia="仿宋" w:cs="仿宋"/>
          <w:kern w:val="0"/>
          <w:sz w:val="21"/>
          <w:szCs w:val="21"/>
          <w:highlight w:val="none"/>
          <w:lang w:val="en-US" w:eastAsia="zh-CN" w:bidi="ar-SA"/>
        </w:rPr>
      </w:pPr>
      <w:r>
        <w:rPr>
          <w:rFonts w:hint="eastAsia" w:ascii="仿宋" w:hAnsi="仿宋" w:eastAsia="仿宋" w:cs="仿宋"/>
          <w:kern w:val="0"/>
          <w:sz w:val="21"/>
          <w:szCs w:val="21"/>
          <w:highlight w:val="none"/>
          <w:lang w:val="en-US" w:eastAsia="zh-CN" w:bidi="ar-SA"/>
        </w:rPr>
        <w:t>2.3平均作业率：99.5%</w:t>
      </w:r>
    </w:p>
    <w:p>
      <w:pPr>
        <w:pStyle w:val="21"/>
        <w:spacing w:line="360" w:lineRule="auto"/>
        <w:jc w:val="lef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2.</w:t>
      </w:r>
      <w:r>
        <w:rPr>
          <w:rFonts w:hint="eastAsia" w:ascii="仿宋" w:hAnsi="仿宋" w:eastAsia="仿宋" w:cs="仿宋"/>
          <w:sz w:val="21"/>
          <w:szCs w:val="21"/>
          <w:highlight w:val="none"/>
          <w:lang w:val="en-US" w:eastAsia="zh-CN"/>
        </w:rPr>
        <w:t>4</w:t>
      </w:r>
      <w:r>
        <w:rPr>
          <w:rFonts w:hint="eastAsia" w:ascii="仿宋" w:hAnsi="仿宋" w:eastAsia="仿宋" w:cs="仿宋"/>
          <w:kern w:val="0"/>
          <w:sz w:val="21"/>
          <w:szCs w:val="21"/>
          <w:highlight w:val="none"/>
          <w:lang w:val="en-US" w:eastAsia="zh-CN" w:bidi="ar-SA"/>
        </w:rPr>
        <w:t>因现场为新建烧结机项目，无</w:t>
      </w:r>
      <w:r>
        <w:rPr>
          <w:rFonts w:hint="eastAsia" w:ascii="仿宋" w:hAnsi="仿宋" w:eastAsia="仿宋" w:cs="仿宋"/>
          <w:sz w:val="21"/>
          <w:szCs w:val="21"/>
          <w:highlight w:val="none"/>
        </w:rPr>
        <w:t>外形及安装尺寸</w:t>
      </w:r>
      <w:r>
        <w:rPr>
          <w:rFonts w:hint="eastAsia" w:ascii="仿宋" w:hAnsi="仿宋" w:eastAsia="仿宋" w:cs="仿宋"/>
          <w:sz w:val="21"/>
          <w:szCs w:val="21"/>
          <w:highlight w:val="none"/>
          <w:lang w:eastAsia="zh-CN"/>
        </w:rPr>
        <w:t>参考</w:t>
      </w:r>
      <w:r>
        <w:rPr>
          <w:rFonts w:hint="eastAsia" w:ascii="仿宋" w:hAnsi="仿宋" w:eastAsia="仿宋" w:cs="仿宋"/>
          <w:sz w:val="21"/>
          <w:szCs w:val="21"/>
          <w:highlight w:val="none"/>
        </w:rPr>
        <w:t>图纸。</w:t>
      </w:r>
      <w:r>
        <w:rPr>
          <w:rFonts w:hint="eastAsia" w:ascii="仿宋" w:hAnsi="仿宋" w:eastAsia="仿宋" w:cs="仿宋"/>
          <w:kern w:val="0"/>
          <w:sz w:val="21"/>
          <w:szCs w:val="21"/>
          <w:highlight w:val="none"/>
          <w:lang w:val="en-US" w:eastAsia="zh-CN" w:bidi="ar-SA"/>
        </w:rPr>
        <w:t>乙方中标后，需到现场确认安装尺寸及参数，乙方需确保提供制作的设备与现场设备具备完全互换性要求。</w:t>
      </w:r>
    </w:p>
    <w:p>
      <w:pPr>
        <w:pStyle w:val="23"/>
        <w:adjustRightInd w:val="0"/>
        <w:snapToGrid w:val="0"/>
        <w:spacing w:line="360" w:lineRule="auto"/>
        <w:ind w:left="0" w:firstLine="420" w:firstLineChars="200"/>
        <w:rPr>
          <w:rFonts w:hint="eastAsia" w:ascii="仿宋" w:hAnsi="仿宋" w:eastAsia="仿宋" w:cs="仿宋"/>
          <w:kern w:val="2"/>
          <w:sz w:val="21"/>
          <w:szCs w:val="22"/>
          <w:highlight w:val="none"/>
          <w:lang w:val="en-US" w:eastAsia="zh-CN" w:bidi="ar-SA"/>
        </w:rPr>
      </w:pPr>
      <w:r>
        <w:rPr>
          <w:rFonts w:hint="eastAsia" w:ascii="仿宋" w:hAnsi="仿宋" w:eastAsia="仿宋" w:cs="仿宋"/>
          <w:sz w:val="21"/>
          <w:szCs w:val="21"/>
          <w:highlight w:val="none"/>
        </w:rPr>
        <w:t>2.</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 xml:space="preserve"> </w:t>
      </w:r>
      <w:r>
        <w:rPr>
          <w:rFonts w:hint="eastAsia" w:ascii="仿宋" w:hAnsi="仿宋" w:eastAsia="仿宋" w:cs="仿宋"/>
          <w:sz w:val="21"/>
          <w:szCs w:val="21"/>
          <w:highlight w:val="none"/>
          <w:lang w:val="en-US" w:eastAsia="zh-CN"/>
        </w:rPr>
        <w:t>减速机箱体采用铸钢箱体，箱体各部位断面需采用机械加工所得，粗糙度不得大于50；箱体焊接后必须退火去应力，并做渗漏实验</w:t>
      </w:r>
      <w:r>
        <w:rPr>
          <w:rFonts w:hint="eastAsia" w:ascii="仿宋" w:hAnsi="仿宋" w:eastAsia="仿宋" w:cs="仿宋"/>
          <w:kern w:val="2"/>
          <w:sz w:val="21"/>
          <w:szCs w:val="22"/>
          <w:highlight w:val="none"/>
          <w:lang w:val="en-US" w:eastAsia="zh-CN" w:bidi="ar-SA"/>
        </w:rPr>
        <w:t>。</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2.6 大小齿轮采用CrMo钢，渗碳淬火处理，磨齿加工，精度等级6级；齿轮轴材质为42CrMo且均采用锻件调质处理；</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2.7减速机安全系数不低于2.5。减速机轴承均参照或相当于原装SKF、FAG或NSK轴承，轴承使用寿命应在5年以上，供货后需提供原产地证明及报关单。</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2.8油封采用骨架唇型密封。油封、密封件等易损件寿命在2年以上。</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2.9减速机的排气孔（加油孔）油标必须为金属零部件，不得使用塑料或橡胶类零部件。</w:t>
      </w:r>
    </w:p>
    <w:p>
      <w:pPr>
        <w:tabs>
          <w:tab w:val="left" w:pos="0"/>
          <w:tab w:val="left" w:pos="720"/>
          <w:tab w:val="left" w:pos="1080"/>
        </w:tabs>
        <w:adjustRightInd/>
        <w:spacing w:line="360" w:lineRule="auto"/>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减速机设有油窗或可视油标的，可视油标或油窗材质为有机玻璃，外侧使用金属（铝合金）防护，可视油标或油窗上需有清晰的油位指示。</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2.10减速机温升不高于40℃，正常工作时的温度不得高于60℃。</w:t>
      </w:r>
    </w:p>
    <w:p>
      <w:pPr>
        <w:widowControl/>
        <w:autoSpaceDE w:val="0"/>
        <w:autoSpaceDN w:val="0"/>
        <w:adjustRightInd/>
        <w:spacing w:line="360" w:lineRule="auto"/>
        <w:ind w:firstLine="525" w:firstLineChars="250"/>
        <w:textAlignment w:val="auto"/>
        <w:outlineLvl w:val="0"/>
        <w:rPr>
          <w:rFonts w:hint="eastAsia" w:ascii="宋体" w:hAnsi="宋体"/>
          <w:sz w:val="21"/>
          <w:szCs w:val="21"/>
          <w:highlight w:val="none"/>
        </w:rPr>
      </w:pPr>
      <w:r>
        <w:rPr>
          <w:rFonts w:hint="eastAsia" w:ascii="仿宋" w:hAnsi="仿宋" w:eastAsia="仿宋" w:cs="仿宋"/>
          <w:sz w:val="21"/>
          <w:szCs w:val="21"/>
          <w:highlight w:val="none"/>
          <w:lang w:val="en-US" w:eastAsia="zh-CN"/>
        </w:rPr>
        <w:t>2.11、减速机安装方式必须与现场原铭牌机器一致，确保提供的减速机能够完全的备用和互换。减速机安装尺寸误差控制在0-2毫米范围内，法兰螺栓孔位置误差控制在±1毫米范围内，入口端法兰与圆盘端面误差控制±1mm范围内，输入、输出轴中心线相对位置误差在±1毫米范围内，确保整体安装具有互换性。</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2.12制造标准和规范要求</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1)产品按照规定程序批准的图样及技术文件进行加工制造。所选用的材料，采购的配套件、标准件应具有检验合格证明，并符合国家及行业现行标准的规定。</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2)制造验收标准(以现行标准为准)</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除图纸及技术要求外，其余的锻造、铸造、焊接及机械加工件的要求均需按国家和行业的通用技术条件及投标厂标进行。</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《渐开线圆柱齿轮精度》                 　　  GB10095</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 xml:space="preserve">《齿轮传动装置噪声评价》                   JB/T5076 </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 xml:space="preserve">《三环减速器》                             YB/T079-1995 </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《公差与配合》                               GB1800-1804</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《形状和位置公差》                           GB118-1184</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lang w:val="zh-CN" w:eastAsia="zh-CN"/>
        </w:rPr>
        <w:t>表面粗糙度参数及其数值》                   GB1031</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《碳素结构钢》                               GB700</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《中厚板超声波探伤》                         GB/T29701</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《优质碳素结构钢技术条件》                   GB699</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《碳素钢铸件分类及技术条件》                 GB979</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《低合金结构钢》                             GB1591</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《合金结构钢技术条件》                       GB3077</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《重型机械通用技术条件产品检验》           JB/T5000.1</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《重型机械通用技术条件火焰切割件》         JB/T5000.2</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《重型机械通用技术条件焊接件》             JB/T5000.3</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《重型机械通用技术条件铸钢件》             JB/T5000.6</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《重型机械通用技术条件  锻件》               JB/T5000.8</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《重型机械通用技术条件切削加工件》         JB/T5000.9</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《重型机械通用技术条件装配》         　    JB/T5000.10</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《重型机械通用技术条件配管》          　　 JB/T5000.11</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《重型机械通用技术条件涂装》               JB/T5000.12</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《重型机械通用技术条件包装》               JB/T5000.13</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《重型机械通用技术条件铸钢件无损探伤》     JB/T5000.14</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《重型机械通用技术条件锻件无损探伤》       JB/T5000.15</w:t>
      </w:r>
    </w:p>
    <w:p>
      <w:pPr>
        <w:spacing w:line="360" w:lineRule="auto"/>
        <w:rPr>
          <w:rFonts w:hint="eastAsia" w:ascii="仿宋" w:hAnsi="仿宋" w:eastAsia="仿宋" w:cs="仿宋"/>
          <w:b/>
          <w:spacing w:val="-4"/>
          <w:kern w:val="28"/>
          <w:sz w:val="21"/>
          <w:szCs w:val="21"/>
          <w:highlight w:val="none"/>
        </w:rPr>
      </w:pPr>
      <w:r>
        <w:rPr>
          <w:rFonts w:hint="eastAsia" w:ascii="仿宋" w:hAnsi="仿宋" w:eastAsia="仿宋" w:cs="仿宋"/>
          <w:b/>
          <w:spacing w:val="-4"/>
          <w:kern w:val="28"/>
          <w:sz w:val="21"/>
          <w:szCs w:val="21"/>
          <w:highlight w:val="none"/>
        </w:rPr>
        <w:t>附件三 系统设施供货范围</w:t>
      </w:r>
    </w:p>
    <w:tbl>
      <w:tblPr>
        <w:tblStyle w:val="11"/>
        <w:tblW w:w="9150" w:type="dxa"/>
        <w:tblInd w:w="93" w:type="dxa"/>
        <w:tblLayout w:type="fixed"/>
        <w:tblCellMar>
          <w:top w:w="0" w:type="dxa"/>
          <w:left w:w="108" w:type="dxa"/>
          <w:bottom w:w="0" w:type="dxa"/>
          <w:right w:w="108" w:type="dxa"/>
        </w:tblCellMar>
      </w:tblPr>
      <w:tblGrid>
        <w:gridCol w:w="580"/>
        <w:gridCol w:w="1248"/>
        <w:gridCol w:w="2203"/>
        <w:gridCol w:w="891"/>
        <w:gridCol w:w="2614"/>
        <w:gridCol w:w="1614"/>
      </w:tblGrid>
      <w:tr>
        <w:tblPrEx>
          <w:tblLayout w:type="fixed"/>
          <w:tblCellMar>
            <w:top w:w="0" w:type="dxa"/>
            <w:left w:w="108" w:type="dxa"/>
            <w:bottom w:w="0" w:type="dxa"/>
            <w:right w:w="108" w:type="dxa"/>
          </w:tblCellMar>
        </w:tblPrEx>
        <w:trPr>
          <w:trHeight w:val="841" w:hRule="atLeast"/>
        </w:trPr>
        <w:tc>
          <w:tcPr>
            <w:tcW w:w="58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序号</w:t>
            </w:r>
          </w:p>
        </w:tc>
        <w:tc>
          <w:tcPr>
            <w:tcW w:w="124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物料编码</w:t>
            </w:r>
          </w:p>
        </w:tc>
        <w:tc>
          <w:tcPr>
            <w:tcW w:w="220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名称</w:t>
            </w:r>
          </w:p>
        </w:tc>
        <w:tc>
          <w:tcPr>
            <w:tcW w:w="891"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数量</w:t>
            </w:r>
          </w:p>
        </w:tc>
        <w:tc>
          <w:tcPr>
            <w:tcW w:w="261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铭牌</w:t>
            </w:r>
          </w:p>
        </w:tc>
        <w:tc>
          <w:tcPr>
            <w:tcW w:w="1614" w:type="dxa"/>
            <w:tcBorders>
              <w:top w:val="single" w:color="auto" w:sz="4" w:space="0"/>
              <w:left w:val="nil"/>
              <w:bottom w:val="single" w:color="auto" w:sz="4" w:space="0"/>
              <w:right w:val="single" w:color="auto" w:sz="4" w:space="0"/>
            </w:tcBorders>
            <w:noWrap/>
            <w:vAlign w:val="center"/>
          </w:tcPr>
          <w:p>
            <w:pPr>
              <w:widowControl/>
              <w:rPr>
                <w:rFonts w:hint="eastAsia" w:ascii="仿宋" w:hAnsi="仿宋" w:eastAsia="仿宋" w:cs="仿宋"/>
                <w:color w:val="000000"/>
                <w:kern w:val="0"/>
                <w:sz w:val="24"/>
                <w:szCs w:val="21"/>
                <w:highlight w:val="none"/>
                <w:lang w:val="en-US" w:eastAsia="zh-CN" w:bidi="ar-SA"/>
              </w:rPr>
            </w:pPr>
            <w:r>
              <w:rPr>
                <w:rFonts w:hint="eastAsia" w:ascii="仿宋" w:hAnsi="仿宋" w:eastAsia="仿宋" w:cs="仿宋"/>
                <w:color w:val="000000"/>
                <w:kern w:val="0"/>
                <w:szCs w:val="21"/>
                <w:highlight w:val="none"/>
              </w:rPr>
              <w:t>备注</w:t>
            </w:r>
          </w:p>
        </w:tc>
      </w:tr>
      <w:tr>
        <w:tblPrEx>
          <w:tblLayout w:type="fixed"/>
          <w:tblCellMar>
            <w:top w:w="0" w:type="dxa"/>
            <w:left w:w="108" w:type="dxa"/>
            <w:bottom w:w="0" w:type="dxa"/>
            <w:right w:w="108" w:type="dxa"/>
          </w:tblCellMar>
        </w:tblPrEx>
        <w:trPr>
          <w:trHeight w:val="1509" w:hRule="atLeast"/>
        </w:trPr>
        <w:tc>
          <w:tcPr>
            <w:tcW w:w="58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1248"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auto"/>
                <w:sz w:val="21"/>
                <w:szCs w:val="21"/>
                <w:highlight w:val="none"/>
              </w:rPr>
            </w:pPr>
            <w:r>
              <w:rPr>
                <w:rFonts w:hint="eastAsia" w:ascii="仿宋" w:hAnsi="仿宋" w:eastAsia="仿宋" w:cs="仿宋"/>
                <w:i w:val="0"/>
                <w:iCs w:val="0"/>
                <w:color w:val="auto"/>
                <w:kern w:val="0"/>
                <w:sz w:val="20"/>
                <w:szCs w:val="20"/>
                <w:highlight w:val="none"/>
                <w:u w:val="none"/>
                <w:lang w:val="en-US" w:eastAsia="zh-CN" w:bidi="ar"/>
              </w:rPr>
              <w:t>70146992</w:t>
            </w:r>
          </w:p>
        </w:tc>
        <w:tc>
          <w:tcPr>
            <w:tcW w:w="2203"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减速机\斜齿轮 QNLJ-203N 90 37kW 1470r/min 15～60rpm</w:t>
            </w:r>
          </w:p>
        </w:tc>
        <w:tc>
          <w:tcPr>
            <w:tcW w:w="891" w:type="dxa"/>
            <w:tcBorders>
              <w:top w:val="single" w:color="auto" w:sz="4" w:space="0"/>
              <w:left w:val="nil"/>
              <w:bottom w:val="single" w:color="auto" w:sz="4" w:space="0"/>
              <w:right w:val="single" w:color="auto" w:sz="4" w:space="0"/>
            </w:tcBorders>
            <w:noWrap/>
            <w:vAlign w:val="center"/>
          </w:tcPr>
          <w:p>
            <w:pPr>
              <w:widowControl/>
              <w:spacing w:line="360" w:lineRule="auto"/>
              <w:jc w:val="center"/>
              <w:rPr>
                <w:rFonts w:hint="eastAsia" w:ascii="仿宋" w:hAnsi="仿宋" w:eastAsia="仿宋" w:cs="仿宋"/>
                <w:sz w:val="21"/>
                <w:szCs w:val="21"/>
                <w:highlight w:val="none"/>
                <w:lang w:val="en-US"/>
              </w:rPr>
            </w:pPr>
            <w:r>
              <w:rPr>
                <w:rFonts w:hint="eastAsia" w:ascii="仿宋" w:hAnsi="仿宋" w:eastAsia="仿宋" w:cs="仿宋"/>
                <w:sz w:val="21"/>
                <w:szCs w:val="21"/>
                <w:highlight w:val="none"/>
                <w:lang w:val="en-US" w:eastAsia="zh-CN"/>
              </w:rPr>
              <w:t>2台</w:t>
            </w:r>
          </w:p>
        </w:tc>
        <w:tc>
          <w:tcPr>
            <w:tcW w:w="2614" w:type="dxa"/>
            <w:tcBorders>
              <w:top w:val="single" w:color="auto" w:sz="4" w:space="0"/>
              <w:left w:val="nil"/>
              <w:bottom w:val="single" w:color="auto" w:sz="4" w:space="0"/>
              <w:right w:val="single" w:color="auto" w:sz="4" w:space="0"/>
            </w:tcBorders>
            <w:noWrap/>
            <w:vAlign w:val="center"/>
          </w:tcPr>
          <w:p>
            <w:pPr>
              <w:widowControl/>
              <w:spacing w:line="360" w:lineRule="auto"/>
              <w:jc w:val="both"/>
              <w:rPr>
                <w:rFonts w:hint="eastAsia" w:ascii="仿宋" w:hAnsi="仿宋" w:eastAsia="仿宋" w:cs="仿宋"/>
                <w:highlight w:val="none"/>
                <w:lang w:eastAsia="zh-CN"/>
              </w:rPr>
            </w:pPr>
            <w:r>
              <w:rPr>
                <w:rFonts w:hint="eastAsia" w:ascii="仿宋" w:hAnsi="仿宋" w:eastAsia="仿宋" w:cs="仿宋"/>
                <w:highlight w:val="none"/>
                <w:lang w:eastAsia="zh-CN"/>
              </w:rPr>
              <w:drawing>
                <wp:inline distT="0" distB="0" distL="114300" distR="114300">
                  <wp:extent cx="1635760" cy="1099820"/>
                  <wp:effectExtent l="0" t="0" r="2540" b="5080"/>
                  <wp:docPr id="2" name="图片 2" descr="IMG_4474.HE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4474.HEIC.JPG"/>
                          <pic:cNvPicPr>
                            <a:picLocks noChangeAspect="1"/>
                          </pic:cNvPicPr>
                        </pic:nvPicPr>
                        <pic:blipFill>
                          <a:blip r:embed="rId5"/>
                          <a:srcRect l="21364" t="28085" r="20024" b="42320"/>
                          <a:stretch>
                            <a:fillRect/>
                          </a:stretch>
                        </pic:blipFill>
                        <pic:spPr>
                          <a:xfrm>
                            <a:off x="0" y="0"/>
                            <a:ext cx="1635760" cy="1099820"/>
                          </a:xfrm>
                          <a:prstGeom prst="rect">
                            <a:avLst/>
                          </a:prstGeom>
                        </pic:spPr>
                      </pic:pic>
                    </a:graphicData>
                  </a:graphic>
                </wp:inline>
              </w:drawing>
            </w:r>
          </w:p>
        </w:tc>
        <w:tc>
          <w:tcPr>
            <w:tcW w:w="1614"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仿宋" w:hAnsi="仿宋" w:eastAsia="仿宋" w:cs="仿宋"/>
                <w:i w:val="0"/>
                <w:iCs w:val="0"/>
                <w:color w:val="auto"/>
                <w:kern w:val="0"/>
                <w:sz w:val="20"/>
                <w:szCs w:val="20"/>
                <w:highlight w:val="none"/>
                <w:u w:val="none"/>
                <w:lang w:val="en-US" w:eastAsia="zh-CN" w:bidi="ar"/>
              </w:rPr>
            </w:pPr>
            <w:r>
              <w:rPr>
                <w:rFonts w:hint="eastAsia" w:ascii="仿宋" w:hAnsi="仿宋" w:eastAsia="仿宋" w:cs="仿宋"/>
                <w:i w:val="0"/>
                <w:iCs w:val="0"/>
                <w:color w:val="auto"/>
                <w:kern w:val="0"/>
                <w:sz w:val="20"/>
                <w:szCs w:val="20"/>
                <w:highlight w:val="none"/>
                <w:u w:val="none"/>
                <w:lang w:val="en-US" w:eastAsia="zh-CN" w:bidi="ar"/>
              </w:rPr>
              <w:t>备件采购参照或相当于：</w:t>
            </w:r>
          </w:p>
          <w:p>
            <w:pPr>
              <w:keepNext w:val="0"/>
              <w:keepLines w:val="0"/>
              <w:widowControl/>
              <w:suppressLineNumbers w:val="0"/>
              <w:jc w:val="left"/>
              <w:textAlignment w:val="center"/>
              <w:rPr>
                <w:rFonts w:hint="eastAsia" w:ascii="仿宋" w:hAnsi="仿宋" w:eastAsia="仿宋" w:cs="仿宋"/>
                <w:i w:val="0"/>
                <w:iCs w:val="0"/>
                <w:color w:val="auto"/>
                <w:kern w:val="0"/>
                <w:sz w:val="20"/>
                <w:szCs w:val="20"/>
                <w:highlight w:val="none"/>
                <w:u w:val="none"/>
                <w:lang w:val="en-US" w:eastAsia="zh-CN" w:bidi="ar"/>
              </w:rPr>
            </w:pPr>
            <w:r>
              <w:rPr>
                <w:rFonts w:hint="eastAsia" w:ascii="仿宋" w:hAnsi="仿宋" w:eastAsia="仿宋" w:cs="仿宋"/>
                <w:i w:val="0"/>
                <w:iCs w:val="0"/>
                <w:color w:val="auto"/>
                <w:kern w:val="0"/>
                <w:sz w:val="20"/>
                <w:szCs w:val="20"/>
                <w:highlight w:val="none"/>
                <w:u w:val="none"/>
                <w:lang w:val="en-US" w:eastAsia="zh-CN" w:bidi="ar"/>
              </w:rPr>
              <w:t>1.南京高精齿轮集团有限公司</w:t>
            </w:r>
          </w:p>
          <w:p>
            <w:pPr>
              <w:keepNext w:val="0"/>
              <w:keepLines w:val="0"/>
              <w:widowControl/>
              <w:suppressLineNumbers w:val="0"/>
              <w:jc w:val="left"/>
              <w:textAlignment w:val="center"/>
              <w:rPr>
                <w:rFonts w:hint="eastAsia" w:ascii="仿宋" w:hAnsi="仿宋" w:eastAsia="仿宋" w:cs="仿宋"/>
                <w:i w:val="0"/>
                <w:iCs w:val="0"/>
                <w:color w:val="auto"/>
                <w:kern w:val="0"/>
                <w:sz w:val="20"/>
                <w:szCs w:val="20"/>
                <w:highlight w:val="none"/>
                <w:u w:val="none"/>
                <w:lang w:val="en-US" w:eastAsia="zh-CN" w:bidi="ar"/>
              </w:rPr>
            </w:pPr>
            <w:r>
              <w:rPr>
                <w:rFonts w:hint="eastAsia" w:ascii="仿宋" w:hAnsi="仿宋" w:eastAsia="仿宋" w:cs="仿宋"/>
                <w:i w:val="0"/>
                <w:iCs w:val="0"/>
                <w:color w:val="auto"/>
                <w:kern w:val="0"/>
                <w:sz w:val="20"/>
                <w:szCs w:val="20"/>
                <w:highlight w:val="none"/>
                <w:u w:val="none"/>
                <w:lang w:val="en-US" w:eastAsia="zh-CN" w:bidi="ar"/>
              </w:rPr>
              <w:t>2.重庆齿轮箱有限责任公司</w:t>
            </w:r>
          </w:p>
          <w:p>
            <w:pPr>
              <w:keepNext w:val="0"/>
              <w:keepLines w:val="0"/>
              <w:widowControl/>
              <w:suppressLineNumbers w:val="0"/>
              <w:jc w:val="left"/>
              <w:textAlignment w:val="center"/>
              <w:rPr>
                <w:rFonts w:hint="eastAsia" w:ascii="仿宋" w:hAnsi="仿宋" w:eastAsia="仿宋" w:cs="仿宋"/>
                <w:sz w:val="21"/>
                <w:szCs w:val="21"/>
                <w:highlight w:val="none"/>
                <w:lang w:val="en-US" w:eastAsia="zh-CN"/>
              </w:rPr>
            </w:pPr>
            <w:r>
              <w:rPr>
                <w:rFonts w:hint="eastAsia" w:ascii="仿宋" w:hAnsi="仿宋" w:eastAsia="仿宋" w:cs="仿宋"/>
                <w:i w:val="0"/>
                <w:iCs w:val="0"/>
                <w:color w:val="auto"/>
                <w:kern w:val="0"/>
                <w:sz w:val="20"/>
                <w:szCs w:val="20"/>
                <w:highlight w:val="none"/>
                <w:u w:val="none"/>
                <w:lang w:val="en-US" w:eastAsia="zh-CN" w:bidi="ar"/>
              </w:rPr>
              <w:t>3.上海殳冶机电设备有限公司</w:t>
            </w:r>
          </w:p>
        </w:tc>
      </w:tr>
    </w:tbl>
    <w:p>
      <w:pPr>
        <w:tabs>
          <w:tab w:val="left" w:pos="0"/>
          <w:tab w:val="left" w:pos="900"/>
          <w:tab w:val="left" w:pos="1080"/>
        </w:tabs>
        <w:spacing w:line="360" w:lineRule="auto"/>
        <w:rPr>
          <w:rFonts w:hint="eastAsia" w:ascii="仿宋" w:hAnsi="仿宋" w:eastAsia="仿宋" w:cs="仿宋"/>
          <w:sz w:val="21"/>
          <w:szCs w:val="21"/>
          <w:highlight w:val="none"/>
        </w:rPr>
      </w:pPr>
      <w:r>
        <w:rPr>
          <w:rFonts w:hint="eastAsia" w:ascii="仿宋" w:hAnsi="仿宋" w:eastAsia="仿宋" w:cs="仿宋"/>
          <w:b/>
          <w:sz w:val="21"/>
          <w:szCs w:val="21"/>
          <w:highlight w:val="none"/>
        </w:rPr>
        <w:t>附加说明</w:t>
      </w:r>
      <w:r>
        <w:rPr>
          <w:rFonts w:hint="eastAsia" w:ascii="仿宋" w:hAnsi="仿宋" w:eastAsia="仿宋" w:cs="仿宋"/>
          <w:b/>
          <w:sz w:val="21"/>
          <w:szCs w:val="21"/>
          <w:highlight w:val="none"/>
          <w:lang w:eastAsia="zh-CN"/>
        </w:rPr>
        <w:t>：</w:t>
      </w:r>
      <w:r>
        <w:rPr>
          <w:rFonts w:hint="eastAsia" w:ascii="仿宋" w:hAnsi="仿宋" w:eastAsia="仿宋" w:cs="仿宋"/>
          <w:color w:val="0000FF"/>
          <w:sz w:val="21"/>
          <w:szCs w:val="21"/>
          <w:highlight w:val="none"/>
          <w:lang w:val="en-US" w:eastAsia="zh-CN"/>
        </w:rPr>
        <w:t>265</w:t>
      </w:r>
      <w:r>
        <w:rPr>
          <w:rFonts w:hint="eastAsia" w:ascii="仿宋" w:hAnsi="仿宋" w:eastAsia="仿宋" w:cs="仿宋"/>
          <w:color w:val="0000FF"/>
          <w:sz w:val="21"/>
          <w:szCs w:val="21"/>
          <w:highlight w:val="none"/>
        </w:rPr>
        <w:t>m2烧结机</w:t>
      </w:r>
      <w:r>
        <w:rPr>
          <w:rFonts w:hint="eastAsia" w:ascii="仿宋" w:hAnsi="仿宋" w:eastAsia="仿宋" w:cs="仿宋"/>
          <w:color w:val="0000FF"/>
          <w:sz w:val="21"/>
          <w:szCs w:val="21"/>
          <w:highlight w:val="none"/>
          <w:lang w:eastAsia="zh-CN"/>
        </w:rPr>
        <w:t>配套</w:t>
      </w:r>
      <w:r>
        <w:rPr>
          <w:rFonts w:hint="eastAsia" w:ascii="仿宋" w:hAnsi="仿宋" w:eastAsia="仿宋" w:cs="仿宋"/>
          <w:color w:val="0000FF"/>
          <w:sz w:val="21"/>
          <w:szCs w:val="21"/>
          <w:highlight w:val="none"/>
          <w:lang w:val="en-US" w:eastAsia="zh-CN"/>
        </w:rPr>
        <w:t>的圆盘给料机</w:t>
      </w:r>
      <w:r>
        <w:rPr>
          <w:rFonts w:hint="eastAsia" w:ascii="仿宋" w:hAnsi="仿宋" w:eastAsia="仿宋" w:cs="仿宋"/>
          <w:color w:val="0000FF"/>
          <w:sz w:val="21"/>
          <w:szCs w:val="21"/>
          <w:highlight w:val="none"/>
          <w:lang w:eastAsia="zh-CN"/>
        </w:rPr>
        <w:t>减速机为烧结机系统关键备件，一旦出现问题将会造成较大设备故障。为确保各部件关联安装尺寸</w:t>
      </w:r>
      <w:r>
        <w:rPr>
          <w:rFonts w:hint="eastAsia" w:ascii="仿宋" w:hAnsi="仿宋" w:eastAsia="仿宋" w:cs="仿宋"/>
          <w:color w:val="0000FF"/>
          <w:sz w:val="21"/>
          <w:szCs w:val="21"/>
          <w:highlight w:val="none"/>
        </w:rPr>
        <w:t>与我厂现用</w:t>
      </w:r>
      <w:r>
        <w:rPr>
          <w:rFonts w:hint="eastAsia" w:ascii="仿宋" w:hAnsi="仿宋" w:eastAsia="仿宋" w:cs="仿宋"/>
          <w:color w:val="0000FF"/>
          <w:sz w:val="21"/>
          <w:szCs w:val="21"/>
          <w:highlight w:val="none"/>
          <w:lang w:val="en-US" w:eastAsia="zh-CN"/>
        </w:rPr>
        <w:t>减速机</w:t>
      </w:r>
      <w:r>
        <w:rPr>
          <w:rFonts w:hint="eastAsia" w:ascii="仿宋" w:hAnsi="仿宋" w:eastAsia="仿宋" w:cs="仿宋"/>
          <w:color w:val="0000FF"/>
          <w:sz w:val="21"/>
          <w:szCs w:val="21"/>
          <w:highlight w:val="none"/>
        </w:rPr>
        <w:t>各部组件具有</w:t>
      </w:r>
      <w:r>
        <w:rPr>
          <w:rFonts w:hint="eastAsia" w:ascii="仿宋" w:hAnsi="仿宋" w:eastAsia="仿宋" w:cs="仿宋"/>
          <w:color w:val="0000FF"/>
          <w:sz w:val="21"/>
          <w:szCs w:val="21"/>
          <w:highlight w:val="none"/>
          <w:lang w:eastAsia="zh-CN"/>
        </w:rPr>
        <w:t>完全的</w:t>
      </w:r>
      <w:r>
        <w:rPr>
          <w:rFonts w:hint="eastAsia" w:ascii="仿宋" w:hAnsi="仿宋" w:eastAsia="仿宋" w:cs="仿宋"/>
          <w:color w:val="0000FF"/>
          <w:sz w:val="21"/>
          <w:szCs w:val="21"/>
          <w:highlight w:val="none"/>
        </w:rPr>
        <w:t>互换性</w:t>
      </w:r>
      <w:r>
        <w:rPr>
          <w:rFonts w:hint="eastAsia" w:ascii="仿宋" w:hAnsi="仿宋" w:eastAsia="仿宋" w:cs="仿宋"/>
          <w:color w:val="0000FF"/>
          <w:sz w:val="21"/>
          <w:szCs w:val="21"/>
          <w:highlight w:val="none"/>
          <w:lang w:eastAsia="zh-CN"/>
        </w:rPr>
        <w:t>，</w:t>
      </w:r>
      <w:r>
        <w:rPr>
          <w:rFonts w:hint="eastAsia" w:ascii="仿宋" w:hAnsi="仿宋" w:eastAsia="仿宋" w:cs="仿宋"/>
          <w:color w:val="0000FF"/>
          <w:sz w:val="21"/>
          <w:szCs w:val="21"/>
          <w:highlight w:val="none"/>
        </w:rPr>
        <w:t>否则，一切后果由乙方承担。</w:t>
      </w:r>
    </w:p>
    <w:p>
      <w:pPr>
        <w:tabs>
          <w:tab w:val="left" w:pos="0"/>
          <w:tab w:val="left" w:pos="900"/>
          <w:tab w:val="left" w:pos="1080"/>
        </w:tabs>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附件四 提供资料</w:t>
      </w:r>
    </w:p>
    <w:p>
      <w:pPr>
        <w:tabs>
          <w:tab w:val="left" w:pos="540"/>
          <w:tab w:val="left" w:pos="1080"/>
        </w:tabs>
        <w:spacing w:line="360" w:lineRule="auto"/>
        <w:ind w:left="-23" w:firstLine="142" w:firstLineChars="68"/>
        <w:outlineLvl w:val="0"/>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4.1</w:t>
      </w:r>
      <w:r>
        <w:rPr>
          <w:rFonts w:hint="eastAsia" w:ascii="仿宋" w:hAnsi="仿宋" w:eastAsia="仿宋" w:cs="仿宋"/>
          <w:sz w:val="21"/>
          <w:szCs w:val="21"/>
          <w:highlight w:val="none"/>
        </w:rPr>
        <w:t>甲方向乙方提供以下资料：</w:t>
      </w:r>
    </w:p>
    <w:p>
      <w:pPr>
        <w:tabs>
          <w:tab w:val="left" w:pos="540"/>
          <w:tab w:val="left" w:pos="1080"/>
        </w:tabs>
        <w:spacing w:line="360" w:lineRule="auto"/>
        <w:ind w:left="-23" w:firstLine="142" w:firstLineChars="68"/>
        <w:outlineLvl w:val="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 xml:space="preserve"> </w:t>
      </w:r>
      <w:r>
        <w:rPr>
          <w:rFonts w:hint="eastAsia" w:ascii="仿宋" w:hAnsi="仿宋" w:eastAsia="仿宋" w:cs="仿宋"/>
          <w:sz w:val="21"/>
          <w:szCs w:val="21"/>
          <w:highlight w:val="none"/>
          <w:lang w:eastAsia="zh-CN"/>
        </w:rPr>
        <w:t>无</w:t>
      </w:r>
    </w:p>
    <w:p>
      <w:pPr>
        <w:spacing w:line="360" w:lineRule="auto"/>
        <w:ind w:firstLine="119" w:firstLineChars="57"/>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4.2乙方向甲方提供以下资料：</w:t>
      </w:r>
    </w:p>
    <w:p>
      <w:pPr>
        <w:numPr>
          <w:ilvl w:val="1"/>
          <w:numId w:val="2"/>
        </w:numPr>
        <w:tabs>
          <w:tab w:val="left" w:pos="0"/>
          <w:tab w:val="left" w:pos="720"/>
          <w:tab w:val="clear" w:pos="840"/>
        </w:tabs>
        <w:adjustRightInd/>
        <w:spacing w:line="360" w:lineRule="auto"/>
        <w:ind w:left="0" w:firstLine="12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产品合格证</w:t>
      </w:r>
    </w:p>
    <w:p>
      <w:pPr>
        <w:numPr>
          <w:ilvl w:val="1"/>
          <w:numId w:val="2"/>
        </w:numPr>
        <w:tabs>
          <w:tab w:val="left" w:pos="0"/>
          <w:tab w:val="left" w:pos="720"/>
          <w:tab w:val="clear" w:pos="840"/>
        </w:tabs>
        <w:adjustRightInd/>
        <w:spacing w:line="360" w:lineRule="auto"/>
        <w:ind w:left="0" w:firstLine="12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竣工图纸</w:t>
      </w:r>
      <w:r>
        <w:rPr>
          <w:rFonts w:hint="eastAsia" w:ascii="仿宋" w:hAnsi="仿宋" w:eastAsia="仿宋" w:cs="仿宋"/>
          <w:sz w:val="21"/>
          <w:szCs w:val="21"/>
          <w:highlight w:val="none"/>
          <w:lang w:val="en-US" w:eastAsia="zh-CN"/>
        </w:rPr>
        <w:t>(含零部件图纸、易损件清单)</w:t>
      </w:r>
    </w:p>
    <w:p>
      <w:pPr>
        <w:numPr>
          <w:ilvl w:val="1"/>
          <w:numId w:val="2"/>
        </w:numPr>
        <w:tabs>
          <w:tab w:val="left" w:pos="0"/>
          <w:tab w:val="left" w:pos="720"/>
          <w:tab w:val="clear" w:pos="840"/>
        </w:tabs>
        <w:adjustRightInd/>
        <w:spacing w:line="360" w:lineRule="auto"/>
        <w:ind w:left="0" w:firstLine="12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产品检验报告</w:t>
      </w:r>
    </w:p>
    <w:p>
      <w:pPr>
        <w:numPr>
          <w:ilvl w:val="1"/>
          <w:numId w:val="2"/>
        </w:numPr>
        <w:tabs>
          <w:tab w:val="left" w:pos="0"/>
          <w:tab w:val="left" w:pos="720"/>
          <w:tab w:val="clear" w:pos="840"/>
        </w:tabs>
        <w:adjustRightInd/>
        <w:spacing w:line="360" w:lineRule="auto"/>
        <w:ind w:left="0" w:firstLine="12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说明书</w:t>
      </w:r>
    </w:p>
    <w:p>
      <w:pPr>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附件五 售后服务</w:t>
      </w:r>
    </w:p>
    <w:p>
      <w:pPr>
        <w:tabs>
          <w:tab w:val="left" w:pos="0"/>
          <w:tab w:val="left" w:pos="720"/>
          <w:tab w:val="left" w:pos="1080"/>
        </w:tabs>
        <w:adjustRightInd/>
        <w:spacing w:line="360" w:lineRule="auto"/>
        <w:ind w:left="1" w:firstLine="478" w:firstLineChars="228"/>
        <w:jc w:val="both"/>
        <w:textAlignment w:val="auto"/>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5.1质量保证项目：</w:t>
      </w:r>
      <w:r>
        <w:rPr>
          <w:rFonts w:hint="eastAsia" w:ascii="仿宋" w:hAnsi="仿宋" w:eastAsia="仿宋" w:cs="仿宋"/>
          <w:sz w:val="21"/>
          <w:szCs w:val="21"/>
          <w:highlight w:val="none"/>
          <w:lang w:eastAsia="zh-CN"/>
        </w:rPr>
        <w:t>减速机整机寿命</w:t>
      </w:r>
      <w:r>
        <w:rPr>
          <w:rFonts w:hint="eastAsia" w:ascii="仿宋" w:hAnsi="仿宋" w:eastAsia="仿宋" w:cs="仿宋"/>
          <w:kern w:val="2"/>
          <w:sz w:val="21"/>
          <w:szCs w:val="21"/>
          <w:highlight w:val="none"/>
          <w:lang w:val="en-US" w:eastAsia="zh-CN" w:bidi="ar-SA"/>
        </w:rPr>
        <w:t>不低于5年，油封、密封件等易损件寿命在2年以上，轴承使用寿命应在5年以上。</w:t>
      </w:r>
    </w:p>
    <w:p>
      <w:pPr>
        <w:pStyle w:val="8"/>
        <w:spacing w:line="360" w:lineRule="auto"/>
        <w:ind w:firstLine="539" w:firstLineChars="257"/>
        <w:rPr>
          <w:rFonts w:hint="eastAsia" w:ascii="仿宋" w:hAnsi="仿宋" w:eastAsia="仿宋" w:cs="仿宋"/>
          <w:szCs w:val="21"/>
          <w:highlight w:val="none"/>
        </w:rPr>
      </w:pPr>
      <w:r>
        <w:rPr>
          <w:rFonts w:hint="eastAsia" w:ascii="仿宋" w:hAnsi="仿宋" w:eastAsia="仿宋" w:cs="仿宋"/>
          <w:szCs w:val="21"/>
          <w:highlight w:val="none"/>
        </w:rPr>
        <w:t>5.2保质期内，凡是由于设备质量问题引起的损坏，乙方在接到通知24小时内到达现场，无偿负责维修恢复原有的功能，同时无偿提供设备备件1套。</w:t>
      </w:r>
    </w:p>
    <w:p>
      <w:pPr>
        <w:pStyle w:val="8"/>
        <w:spacing w:line="360" w:lineRule="auto"/>
        <w:ind w:firstLine="539" w:firstLineChars="257"/>
        <w:rPr>
          <w:rFonts w:hint="eastAsia" w:ascii="仿宋" w:hAnsi="仿宋" w:eastAsia="仿宋" w:cs="仿宋"/>
          <w:szCs w:val="21"/>
          <w:highlight w:val="none"/>
        </w:rPr>
      </w:pPr>
      <w:r>
        <w:rPr>
          <w:rFonts w:hint="eastAsia" w:ascii="仿宋" w:hAnsi="仿宋" w:eastAsia="仿宋" w:cs="仿宋"/>
          <w:szCs w:val="21"/>
          <w:highlight w:val="none"/>
        </w:rPr>
        <w:t>5.3设备因甲方人为原因出现损坏，按甲方通知，乙方积极配合甲方维修处理，优先、及时提供备件，费用由甲方承担。</w:t>
      </w:r>
    </w:p>
    <w:p>
      <w:pPr>
        <w:pStyle w:val="8"/>
        <w:spacing w:line="360" w:lineRule="auto"/>
        <w:ind w:firstLine="542" w:firstLineChars="257"/>
        <w:rPr>
          <w:rFonts w:hint="eastAsia" w:ascii="仿宋" w:hAnsi="仿宋" w:eastAsia="仿宋" w:cs="仿宋"/>
          <w:color w:val="auto"/>
          <w:szCs w:val="21"/>
          <w:highlight w:val="none"/>
        </w:rPr>
      </w:pPr>
      <w:r>
        <w:rPr>
          <w:rFonts w:hint="eastAsia" w:ascii="宋体" w:hAnsi="宋体" w:cs="宋体"/>
          <w:b/>
          <w:bCs/>
          <w:color w:val="auto"/>
          <w:kern w:val="0"/>
          <w:szCs w:val="21"/>
          <w:highlight w:val="none"/>
          <w:lang w:val="en-US" w:eastAsia="zh-CN"/>
        </w:rPr>
        <w:t>减速机备件到达现场后，乙方委派厂家技术人员一同到现场和甲方技术人员共同验货确认，确保备件合格。</w:t>
      </w:r>
    </w:p>
    <w:p>
      <w:pPr>
        <w:widowControl w:val="0"/>
        <w:ind w:firstLine="630" w:firstLineChars="300"/>
        <w:jc w:val="both"/>
        <w:rPr>
          <w:rFonts w:hint="eastAsia" w:ascii="仿宋" w:hAnsi="仿宋" w:eastAsia="仿宋" w:cs="仿宋"/>
          <w:sz w:val="21"/>
          <w:szCs w:val="21"/>
          <w:highlight w:val="none"/>
        </w:rPr>
      </w:pPr>
      <w:r>
        <w:rPr>
          <w:rFonts w:hint="eastAsia" w:ascii="仿宋" w:hAnsi="仿宋" w:eastAsia="仿宋" w:cs="仿宋"/>
          <w:sz w:val="21"/>
          <w:highlight w:val="none"/>
          <w:lang w:val="en-US" w:eastAsia="zh-CN"/>
        </w:rPr>
        <w:t>5.4</w:t>
      </w:r>
      <w:r>
        <w:rPr>
          <w:rFonts w:hint="eastAsia" w:ascii="仿宋" w:hAnsi="仿宋" w:eastAsia="仿宋" w:cs="仿宋"/>
          <w:sz w:val="21"/>
          <w:szCs w:val="21"/>
          <w:highlight w:val="none"/>
        </w:rPr>
        <w:t>联系人电子邮箱：</w:t>
      </w: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 HYPERLINK "mailto:panzhongming@jiugang.com" </w:instrText>
      </w:r>
      <w:r>
        <w:rPr>
          <w:rFonts w:hint="eastAsia" w:ascii="仿宋" w:hAnsi="仿宋" w:eastAsia="仿宋" w:cs="仿宋"/>
          <w:sz w:val="21"/>
          <w:szCs w:val="21"/>
          <w:highlight w:val="none"/>
        </w:rPr>
        <w:fldChar w:fldCharType="separate"/>
      </w:r>
      <w:r>
        <w:rPr>
          <w:rFonts w:hint="eastAsia" w:ascii="仿宋" w:hAnsi="仿宋" w:eastAsia="仿宋" w:cs="仿宋"/>
          <w:sz w:val="21"/>
          <w:szCs w:val="21"/>
          <w:highlight w:val="none"/>
          <w:lang w:val="en-US" w:eastAsia="zh-CN"/>
        </w:rPr>
        <w:t>shihaidong</w:t>
      </w:r>
      <w:r>
        <w:rPr>
          <w:rFonts w:hint="eastAsia" w:ascii="仿宋" w:hAnsi="仿宋" w:eastAsia="仿宋" w:cs="仿宋"/>
          <w:sz w:val="21"/>
          <w:szCs w:val="21"/>
          <w:highlight w:val="none"/>
        </w:rPr>
        <w:t>@jiugang.com</w:t>
      </w:r>
      <w:r>
        <w:rPr>
          <w:rFonts w:hint="eastAsia" w:ascii="仿宋" w:hAnsi="仿宋" w:eastAsia="仿宋" w:cs="仿宋"/>
          <w:sz w:val="21"/>
          <w:szCs w:val="21"/>
          <w:highlight w:val="none"/>
        </w:rPr>
        <w:fldChar w:fldCharType="end"/>
      </w:r>
      <w:r>
        <w:rPr>
          <w:rFonts w:hint="eastAsia" w:ascii="仿宋" w:hAnsi="仿宋" w:eastAsia="仿宋" w:cs="仿宋"/>
          <w:sz w:val="21"/>
          <w:szCs w:val="21"/>
          <w:highlight w:val="none"/>
        </w:rPr>
        <w:t xml:space="preserve">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w:t>
      </w:r>
    </w:p>
    <w:p>
      <w:pPr>
        <w:widowControl w:val="0"/>
        <w:ind w:firstLine="1050" w:firstLineChars="500"/>
        <w:jc w:val="both"/>
        <w:rPr>
          <w:rFonts w:hint="eastAsia" w:ascii="仿宋" w:hAnsi="仿宋" w:eastAsia="仿宋" w:cs="仿宋"/>
          <w:b/>
          <w:sz w:val="21"/>
          <w:szCs w:val="21"/>
          <w:highlight w:val="none"/>
        </w:rPr>
      </w:pPr>
      <w:r>
        <w:rPr>
          <w:rFonts w:hint="eastAsia" w:ascii="仿宋" w:hAnsi="仿宋" w:eastAsia="仿宋" w:cs="仿宋"/>
          <w:sz w:val="21"/>
          <w:szCs w:val="21"/>
          <w:highlight w:val="none"/>
          <w:lang w:val="en-US" w:eastAsia="zh-CN"/>
        </w:rPr>
        <w:t>甲方</w:t>
      </w:r>
      <w:r>
        <w:rPr>
          <w:rFonts w:hint="eastAsia" w:ascii="仿宋" w:hAnsi="仿宋" w:eastAsia="仿宋" w:cs="仿宋"/>
          <w:sz w:val="21"/>
          <w:szCs w:val="21"/>
          <w:highlight w:val="none"/>
          <w:lang w:eastAsia="zh-CN"/>
        </w:rPr>
        <w:t>电话：</w:t>
      </w:r>
      <w:r>
        <w:rPr>
          <w:rFonts w:hint="eastAsia" w:ascii="仿宋" w:hAnsi="仿宋" w:eastAsia="仿宋" w:cs="仿宋"/>
          <w:sz w:val="21"/>
          <w:szCs w:val="21"/>
          <w:highlight w:val="none"/>
          <w:lang w:val="en-US" w:eastAsia="zh-CN"/>
        </w:rPr>
        <w:t>时海东  18298976030</w:t>
      </w:r>
    </w:p>
    <w:p>
      <w:pPr>
        <w:tabs>
          <w:tab w:val="left" w:pos="0"/>
          <w:tab w:val="left" w:pos="720"/>
          <w:tab w:val="left" w:pos="900"/>
          <w:tab w:val="left" w:pos="1080"/>
        </w:tabs>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附件六  交货时间及地点</w:t>
      </w:r>
    </w:p>
    <w:p>
      <w:pPr>
        <w:numPr>
          <w:ilvl w:val="2"/>
          <w:numId w:val="3"/>
        </w:numPr>
        <w:tabs>
          <w:tab w:val="left" w:pos="-180"/>
          <w:tab w:val="left" w:pos="-120"/>
          <w:tab w:val="left" w:pos="540"/>
          <w:tab w:val="left" w:pos="720"/>
        </w:tabs>
        <w:adjustRightInd/>
        <w:spacing w:line="360" w:lineRule="auto"/>
        <w:ind w:left="0" w:firstLine="12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交货时间：</w:t>
      </w:r>
    </w:p>
    <w:p>
      <w:pPr>
        <w:tabs>
          <w:tab w:val="left" w:pos="-180"/>
          <w:tab w:val="left" w:pos="-120"/>
          <w:tab w:val="left" w:pos="540"/>
          <w:tab w:val="left" w:pos="720"/>
        </w:tabs>
        <w:adjustRightInd/>
        <w:spacing w:line="360" w:lineRule="auto"/>
        <w:ind w:firstLine="420" w:firstLineChars="200"/>
        <w:jc w:val="both"/>
        <w:textAlignment w:val="auto"/>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eastAsia="zh-CN"/>
        </w:rPr>
        <w:t>减速机</w:t>
      </w:r>
      <w:r>
        <w:rPr>
          <w:rFonts w:hint="eastAsia" w:ascii="仿宋" w:hAnsi="仿宋" w:eastAsia="仿宋" w:cs="仿宋"/>
          <w:sz w:val="21"/>
          <w:szCs w:val="21"/>
          <w:highlight w:val="none"/>
        </w:rPr>
        <w:t>：20</w:t>
      </w:r>
      <w:r>
        <w:rPr>
          <w:rFonts w:hint="eastAsia" w:ascii="仿宋" w:hAnsi="仿宋" w:eastAsia="仿宋" w:cs="仿宋"/>
          <w:sz w:val="21"/>
          <w:szCs w:val="21"/>
          <w:highlight w:val="none"/>
          <w:lang w:val="en-US" w:eastAsia="zh-CN"/>
        </w:rPr>
        <w:t>26</w:t>
      </w:r>
      <w:r>
        <w:rPr>
          <w:rFonts w:hint="eastAsia" w:ascii="仿宋" w:hAnsi="仿宋" w:eastAsia="仿宋" w:cs="仿宋"/>
          <w:sz w:val="21"/>
          <w:szCs w:val="21"/>
          <w:highlight w:val="none"/>
        </w:rPr>
        <w:t>年</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月</w:t>
      </w:r>
      <w:r>
        <w:rPr>
          <w:rFonts w:hint="eastAsia" w:ascii="仿宋" w:hAnsi="仿宋" w:eastAsia="仿宋" w:cs="仿宋"/>
          <w:sz w:val="21"/>
          <w:szCs w:val="21"/>
          <w:highlight w:val="none"/>
          <w:lang w:val="en-US" w:eastAsia="zh-CN"/>
        </w:rPr>
        <w:t xml:space="preserve">  日</w:t>
      </w:r>
    </w:p>
    <w:p>
      <w:pPr>
        <w:numPr>
          <w:ilvl w:val="2"/>
          <w:numId w:val="3"/>
        </w:numPr>
        <w:tabs>
          <w:tab w:val="left" w:pos="-180"/>
          <w:tab w:val="left" w:pos="-120"/>
          <w:tab w:val="left" w:pos="540"/>
          <w:tab w:val="left" w:pos="720"/>
        </w:tabs>
        <w:adjustRightInd/>
        <w:spacing w:line="360" w:lineRule="auto"/>
        <w:ind w:left="0" w:firstLine="12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交货地点：甘肃省嘉峪关市酒钢储运部工矿备件仓储部</w:t>
      </w:r>
    </w:p>
    <w:p>
      <w:pPr>
        <w:tabs>
          <w:tab w:val="left" w:pos="0"/>
          <w:tab w:val="left" w:pos="720"/>
          <w:tab w:val="left" w:pos="900"/>
          <w:tab w:val="left" w:pos="1080"/>
        </w:tabs>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sz w:val="21"/>
          <w:highlight w:val="none"/>
        </w:rPr>
      </w:pPr>
      <w:r>
        <w:rPr>
          <w:rFonts w:hint="eastAsia" w:ascii="仿宋" w:hAnsi="仿宋" w:eastAsia="仿宋" w:cs="仿宋"/>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sz w:val="21"/>
          <w:highlight w:val="none"/>
        </w:rPr>
      </w:pPr>
      <w:r>
        <w:rPr>
          <w:rFonts w:hint="eastAsia" w:ascii="仿宋" w:hAnsi="仿宋" w:eastAsia="仿宋" w:cs="仿宋"/>
          <w:sz w:val="21"/>
          <w:highlight w:val="none"/>
          <w:lang w:val="en-US" w:eastAsia="zh-CN"/>
        </w:rPr>
        <w:t>7.2甲乙双方应当就签订本协议的相关事宜保密，不得将签订主体、时间、内容等信息透露给其他第三人。</w:t>
      </w:r>
      <w:bookmarkStart w:id="0" w:name="_GoBack"/>
      <w:bookmarkEnd w:id="0"/>
    </w:p>
    <w:p>
      <w:pPr>
        <w:tabs>
          <w:tab w:val="left" w:pos="0"/>
          <w:tab w:val="left" w:pos="720"/>
          <w:tab w:val="left" w:pos="900"/>
          <w:tab w:val="left" w:pos="1080"/>
        </w:tabs>
        <w:spacing w:line="360" w:lineRule="auto"/>
        <w:ind w:firstLine="420" w:firstLineChars="200"/>
        <w:rPr>
          <w:rFonts w:hint="eastAsia" w:ascii="仿宋" w:hAnsi="仿宋" w:eastAsia="仿宋" w:cs="仿宋"/>
          <w:sz w:val="21"/>
          <w:highlight w:val="none"/>
          <w:lang w:val="en-US" w:eastAsia="zh-CN"/>
        </w:rPr>
      </w:pPr>
      <w:r>
        <w:rPr>
          <w:rFonts w:hint="eastAsia" w:ascii="仿宋" w:hAnsi="仿宋" w:eastAsia="仿宋" w:cs="仿宋"/>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sz w:val="21"/>
          <w:highlight w:val="none"/>
        </w:rPr>
      </w:pPr>
      <w:r>
        <w:rPr>
          <w:rFonts w:hint="eastAsia" w:ascii="仿宋" w:hAnsi="仿宋" w:eastAsia="仿宋" w:cs="仿宋"/>
          <w:sz w:val="21"/>
          <w:highlight w:val="none"/>
          <w:lang w:val="en-US" w:eastAsia="zh-CN"/>
        </w:rPr>
        <w:t>7.4</w:t>
      </w:r>
      <w:r>
        <w:rPr>
          <w:rFonts w:hint="eastAsia" w:ascii="仿宋" w:hAnsi="仿宋" w:eastAsia="仿宋" w:cs="仿宋"/>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FF0000"/>
          <w:sz w:val="21"/>
          <w:szCs w:val="21"/>
          <w:highlight w:val="none"/>
        </w:rPr>
      </w:pPr>
    </w:p>
    <w:p>
      <w:pPr>
        <w:pStyle w:val="5"/>
        <w:tabs>
          <w:tab w:val="left" w:pos="5094"/>
        </w:tabs>
        <w:spacing w:line="480" w:lineRule="auto"/>
        <w:ind w:right="1735"/>
        <w:rPr>
          <w:rFonts w:hint="eastAsia" w:ascii="仿宋" w:hAnsi="仿宋" w:eastAsia="仿宋" w:cs="仿宋"/>
          <w:b/>
          <w:bCs/>
          <w:sz w:val="24"/>
          <w:szCs w:val="4"/>
          <w:highlight w:val="none"/>
        </w:rPr>
      </w:pPr>
      <w:r>
        <w:rPr>
          <w:rFonts w:hint="eastAsia" w:ascii="仿宋" w:hAnsi="仿宋" w:eastAsia="仿宋" w:cs="仿宋"/>
          <w:b/>
          <w:bCs/>
          <w:sz w:val="24"/>
          <w:szCs w:val="4"/>
          <w:highlight w:val="none"/>
        </w:rPr>
        <w:t>甲方：甘肃酒钢集团宏兴钢铁股份有限公司炼铁厂</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rPr>
        <w:t>乙方：</w:t>
      </w:r>
    </w:p>
    <w:p>
      <w:pPr>
        <w:pStyle w:val="5"/>
        <w:tabs>
          <w:tab w:val="left" w:pos="5094"/>
        </w:tabs>
        <w:spacing w:line="480" w:lineRule="auto"/>
        <w:rPr>
          <w:rFonts w:hint="eastAsia" w:ascii="仿宋" w:hAnsi="仿宋" w:eastAsia="仿宋" w:cs="仿宋"/>
          <w:b/>
          <w:bCs/>
          <w:sz w:val="2"/>
          <w:szCs w:val="4"/>
          <w:highlight w:val="none"/>
        </w:rPr>
      </w:pPr>
      <w:r>
        <w:rPr>
          <w:rFonts w:hint="eastAsia" w:ascii="仿宋" w:hAnsi="仿宋" w:eastAsia="仿宋" w:cs="仿宋"/>
          <w:b/>
          <w:bCs/>
          <w:sz w:val="24"/>
          <w:szCs w:val="4"/>
          <w:highlight w:val="none"/>
        </w:rPr>
        <w:t>代表：</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lang w:val="en-US" w:eastAsia="zh-CN"/>
        </w:rPr>
        <w:t xml:space="preserve">   </w:t>
      </w:r>
      <w:r>
        <w:rPr>
          <w:rFonts w:hint="eastAsia" w:ascii="仿宋" w:hAnsi="仿宋" w:eastAsia="仿宋" w:cs="仿宋"/>
          <w:b/>
          <w:bCs/>
          <w:w w:val="95"/>
          <w:sz w:val="24"/>
          <w:szCs w:val="4"/>
          <w:highlight w:val="none"/>
        </w:rPr>
        <w:t>代表：</w:t>
      </w:r>
    </w:p>
    <w:p>
      <w:pPr>
        <w:pStyle w:val="5"/>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sz w:val="24"/>
          <w:szCs w:val="4"/>
          <w:highlight w:val="none"/>
        </w:rPr>
      </w:pPr>
      <w:r>
        <w:rPr>
          <w:rFonts w:hint="eastAsia" w:ascii="仿宋" w:hAnsi="仿宋" w:eastAsia="仿宋" w:cs="仿宋"/>
          <w:b/>
          <w:bCs/>
          <w:sz w:val="24"/>
          <w:szCs w:val="4"/>
          <w:highlight w:val="none"/>
        </w:rPr>
        <w:t>日期：</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rPr>
        <w:t>年</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rPr>
        <w:t>月</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rPr>
        <w:t>日</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lang w:val="en-US" w:eastAsia="zh-CN"/>
        </w:rPr>
        <w:t xml:space="preserve">   </w:t>
      </w:r>
      <w:r>
        <w:rPr>
          <w:rFonts w:hint="eastAsia" w:ascii="仿宋" w:hAnsi="仿宋" w:eastAsia="仿宋" w:cs="仿宋"/>
          <w:b/>
          <w:bCs/>
          <w:sz w:val="24"/>
          <w:szCs w:val="4"/>
          <w:highlight w:val="none"/>
        </w:rPr>
        <w:t>日期：</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rPr>
        <w:t>年</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rPr>
        <w:t>月</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rPr>
        <w:t>日</w:t>
      </w:r>
    </w:p>
    <w:p>
      <w:pPr>
        <w:pStyle w:val="2"/>
        <w:rPr>
          <w:rFonts w:hint="eastAsia"/>
          <w:highlight w:val="none"/>
        </w:rPr>
      </w:pPr>
    </w:p>
    <w:sectPr>
      <w:footerReference r:id="rId3" w:type="default"/>
      <w:pgSz w:w="11907" w:h="16840"/>
      <w:pgMar w:top="1440" w:right="1797" w:bottom="1440" w:left="179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4</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4</w:t>
    </w:r>
    <w:r>
      <w:rPr>
        <w:szCs w:val="21"/>
      </w:rPr>
      <w:fldChar w:fldCharType="end"/>
    </w:r>
    <w:r>
      <w:rPr>
        <w:rFonts w:hint="eastAsia"/>
        <w:szCs w:val="21"/>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E79D9"/>
    <w:multiLevelType w:val="multilevel"/>
    <w:tmpl w:val="0EEE79D9"/>
    <w:lvl w:ilvl="0" w:tentative="0">
      <w:start w:val="1"/>
      <w:numFmt w:val="decimal"/>
      <w:lvlText w:val="1.%1"/>
      <w:lvlJc w:val="left"/>
      <w:pPr>
        <w:tabs>
          <w:tab w:val="left" w:pos="0"/>
        </w:tabs>
        <w:ind w:left="0" w:firstLine="0"/>
      </w:pPr>
      <w:rPr>
        <w:rFonts w:hint="default"/>
      </w:rPr>
    </w:lvl>
    <w:lvl w:ilvl="1" w:tentative="0">
      <w:start w:val="1"/>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C251293"/>
    <w:multiLevelType w:val="multilevel"/>
    <w:tmpl w:val="3C251293"/>
    <w:lvl w:ilvl="0" w:tentative="0">
      <w:start w:val="1"/>
      <w:numFmt w:val="decimal"/>
      <w:lvlText w:val="4.3.%1"/>
      <w:lvlJc w:val="left"/>
      <w:pPr>
        <w:tabs>
          <w:tab w:val="left" w:pos="840"/>
        </w:tabs>
        <w:ind w:left="840" w:hanging="420"/>
      </w:pPr>
      <w:rPr>
        <w:rFonts w:hint="eastAsia"/>
        <w:b w:val="0"/>
      </w:rPr>
    </w:lvl>
    <w:lvl w:ilvl="1" w:tentative="0">
      <w:start w:val="1"/>
      <w:numFmt w:val="decimal"/>
      <w:lvlText w:val="5.%2"/>
      <w:lvlJc w:val="left"/>
      <w:pPr>
        <w:tabs>
          <w:tab w:val="left" w:pos="840"/>
        </w:tabs>
        <w:ind w:left="397" w:firstLine="23"/>
      </w:pPr>
      <w:rPr>
        <w:rFonts w:hint="eastAsia" w:ascii="宋体" w:eastAsia="宋体"/>
        <w:b w:val="0"/>
        <w:i w:val="0"/>
        <w:sz w:val="21"/>
      </w:rPr>
    </w:lvl>
    <w:lvl w:ilvl="2" w:tentative="0">
      <w:start w:val="1"/>
      <w:numFmt w:val="decimal"/>
      <w:lvlText w:val="6.%3"/>
      <w:lvlJc w:val="left"/>
      <w:pPr>
        <w:tabs>
          <w:tab w:val="left" w:pos="1260"/>
        </w:tabs>
        <w:ind w:left="817" w:firstLine="23"/>
      </w:pPr>
      <w:rPr>
        <w:rFonts w:hint="eastAsia" w:ascii="宋体" w:eastAsia="宋体"/>
        <w:b w:val="0"/>
        <w:i w:val="0"/>
        <w:sz w:val="21"/>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83E5635"/>
    <w:multiLevelType w:val="multilevel"/>
    <w:tmpl w:val="683E5635"/>
    <w:lvl w:ilvl="0" w:tentative="0">
      <w:start w:val="1"/>
      <w:numFmt w:val="decimal"/>
      <w:lvlText w:val="6.%1"/>
      <w:lvlJc w:val="left"/>
      <w:pPr>
        <w:tabs>
          <w:tab w:val="left" w:pos="960"/>
        </w:tabs>
        <w:ind w:left="960" w:hanging="420"/>
      </w:pPr>
      <w:rPr>
        <w:rFonts w:hint="eastAsia"/>
        <w:b w:val="0"/>
      </w:rPr>
    </w:lvl>
    <w:lvl w:ilvl="1" w:tentative="0">
      <w:start w:val="1"/>
      <w:numFmt w:val="decimal"/>
      <w:lvlText w:val="4.2.%2"/>
      <w:lvlJc w:val="left"/>
      <w:pPr>
        <w:tabs>
          <w:tab w:val="left" w:pos="840"/>
        </w:tabs>
        <w:ind w:left="840" w:hanging="420"/>
      </w:pPr>
      <w:rPr>
        <w:rFonts w:hint="eastAsia"/>
        <w:b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4NGIxMDQ3ZjEyNjMwMTkwNWU4YmE0ZjIzOTNlNWQifQ=="/>
    <w:docVar w:name="KSO_WPS_MARK_KEY" w:val="12119802-b04c-452a-be10-b3e55df2e841"/>
  </w:docVars>
  <w:rsids>
    <w:rsidRoot w:val="00A15A5D"/>
    <w:rsid w:val="00015FF6"/>
    <w:rsid w:val="00017AC3"/>
    <w:rsid w:val="00017C0A"/>
    <w:rsid w:val="00023B5E"/>
    <w:rsid w:val="00030031"/>
    <w:rsid w:val="00030854"/>
    <w:rsid w:val="00032435"/>
    <w:rsid w:val="0003647A"/>
    <w:rsid w:val="00041229"/>
    <w:rsid w:val="000433EB"/>
    <w:rsid w:val="00043673"/>
    <w:rsid w:val="00047EC4"/>
    <w:rsid w:val="00051F1D"/>
    <w:rsid w:val="00053097"/>
    <w:rsid w:val="0005339B"/>
    <w:rsid w:val="000647CA"/>
    <w:rsid w:val="00064BD5"/>
    <w:rsid w:val="00065075"/>
    <w:rsid w:val="00073506"/>
    <w:rsid w:val="000751DB"/>
    <w:rsid w:val="0008119C"/>
    <w:rsid w:val="00086835"/>
    <w:rsid w:val="000869DE"/>
    <w:rsid w:val="00087D9C"/>
    <w:rsid w:val="000900A2"/>
    <w:rsid w:val="00090E3C"/>
    <w:rsid w:val="000968B3"/>
    <w:rsid w:val="000A45D1"/>
    <w:rsid w:val="000B03A3"/>
    <w:rsid w:val="000B54BD"/>
    <w:rsid w:val="000B5DA6"/>
    <w:rsid w:val="000C5098"/>
    <w:rsid w:val="000D5487"/>
    <w:rsid w:val="000D7C09"/>
    <w:rsid w:val="000E3496"/>
    <w:rsid w:val="000E4413"/>
    <w:rsid w:val="000F1DE0"/>
    <w:rsid w:val="00111FF6"/>
    <w:rsid w:val="0011221B"/>
    <w:rsid w:val="0011425B"/>
    <w:rsid w:val="00122596"/>
    <w:rsid w:val="00123A02"/>
    <w:rsid w:val="00124B31"/>
    <w:rsid w:val="001255DF"/>
    <w:rsid w:val="00126350"/>
    <w:rsid w:val="0014403F"/>
    <w:rsid w:val="001469F8"/>
    <w:rsid w:val="00151953"/>
    <w:rsid w:val="0015418B"/>
    <w:rsid w:val="00174968"/>
    <w:rsid w:val="001760E3"/>
    <w:rsid w:val="0018114C"/>
    <w:rsid w:val="001827D5"/>
    <w:rsid w:val="001931FF"/>
    <w:rsid w:val="00195E3D"/>
    <w:rsid w:val="00196A46"/>
    <w:rsid w:val="001A601F"/>
    <w:rsid w:val="001B0FBF"/>
    <w:rsid w:val="001B1352"/>
    <w:rsid w:val="001B29C2"/>
    <w:rsid w:val="001C54AD"/>
    <w:rsid w:val="001C645A"/>
    <w:rsid w:val="001D12EB"/>
    <w:rsid w:val="001E3B73"/>
    <w:rsid w:val="001E53E0"/>
    <w:rsid w:val="001E5B6F"/>
    <w:rsid w:val="001F4D31"/>
    <w:rsid w:val="0020195B"/>
    <w:rsid w:val="002058B8"/>
    <w:rsid w:val="002071EA"/>
    <w:rsid w:val="00210956"/>
    <w:rsid w:val="0021156A"/>
    <w:rsid w:val="002253B9"/>
    <w:rsid w:val="0023399D"/>
    <w:rsid w:val="0023728C"/>
    <w:rsid w:val="00246F72"/>
    <w:rsid w:val="00252BC8"/>
    <w:rsid w:val="00254AE5"/>
    <w:rsid w:val="00256350"/>
    <w:rsid w:val="00266186"/>
    <w:rsid w:val="00272FE0"/>
    <w:rsid w:val="00285D2A"/>
    <w:rsid w:val="00285D69"/>
    <w:rsid w:val="00290616"/>
    <w:rsid w:val="00290D73"/>
    <w:rsid w:val="0029146A"/>
    <w:rsid w:val="002A47BD"/>
    <w:rsid w:val="002A6BFF"/>
    <w:rsid w:val="002A78BB"/>
    <w:rsid w:val="002B1287"/>
    <w:rsid w:val="002B1B61"/>
    <w:rsid w:val="002B232D"/>
    <w:rsid w:val="002B4602"/>
    <w:rsid w:val="002B6111"/>
    <w:rsid w:val="002C0E54"/>
    <w:rsid w:val="002D74DE"/>
    <w:rsid w:val="002D7AEC"/>
    <w:rsid w:val="002E3A53"/>
    <w:rsid w:val="002F59D4"/>
    <w:rsid w:val="002F61D2"/>
    <w:rsid w:val="002F659D"/>
    <w:rsid w:val="002F7B18"/>
    <w:rsid w:val="0031145F"/>
    <w:rsid w:val="00312380"/>
    <w:rsid w:val="0032488C"/>
    <w:rsid w:val="00325AE5"/>
    <w:rsid w:val="00333CA9"/>
    <w:rsid w:val="003371B1"/>
    <w:rsid w:val="00337DAB"/>
    <w:rsid w:val="003403E8"/>
    <w:rsid w:val="00344CB8"/>
    <w:rsid w:val="00352E8B"/>
    <w:rsid w:val="003608C5"/>
    <w:rsid w:val="00366F1B"/>
    <w:rsid w:val="0037739F"/>
    <w:rsid w:val="003800F6"/>
    <w:rsid w:val="00383332"/>
    <w:rsid w:val="0038610C"/>
    <w:rsid w:val="0038623D"/>
    <w:rsid w:val="00392B9D"/>
    <w:rsid w:val="003B0E8A"/>
    <w:rsid w:val="003B6FDE"/>
    <w:rsid w:val="003C022C"/>
    <w:rsid w:val="003C19B8"/>
    <w:rsid w:val="003C1C99"/>
    <w:rsid w:val="003C26B2"/>
    <w:rsid w:val="003C28E9"/>
    <w:rsid w:val="003D5137"/>
    <w:rsid w:val="003D6E84"/>
    <w:rsid w:val="003E117F"/>
    <w:rsid w:val="003E339C"/>
    <w:rsid w:val="003F0862"/>
    <w:rsid w:val="003F2531"/>
    <w:rsid w:val="00401DE2"/>
    <w:rsid w:val="00403112"/>
    <w:rsid w:val="00414343"/>
    <w:rsid w:val="004222AD"/>
    <w:rsid w:val="00423BA6"/>
    <w:rsid w:val="00434348"/>
    <w:rsid w:val="00435005"/>
    <w:rsid w:val="00436AE0"/>
    <w:rsid w:val="004373B6"/>
    <w:rsid w:val="00437A34"/>
    <w:rsid w:val="00442516"/>
    <w:rsid w:val="00446878"/>
    <w:rsid w:val="00451D57"/>
    <w:rsid w:val="00467A87"/>
    <w:rsid w:val="00470FF8"/>
    <w:rsid w:val="00471AA4"/>
    <w:rsid w:val="004868E5"/>
    <w:rsid w:val="00495DE9"/>
    <w:rsid w:val="00496916"/>
    <w:rsid w:val="004A4D88"/>
    <w:rsid w:val="004B40B5"/>
    <w:rsid w:val="004B56EB"/>
    <w:rsid w:val="004B5790"/>
    <w:rsid w:val="004C159E"/>
    <w:rsid w:val="004C3ABF"/>
    <w:rsid w:val="004C4AB4"/>
    <w:rsid w:val="004D1A93"/>
    <w:rsid w:val="004F0212"/>
    <w:rsid w:val="004F3378"/>
    <w:rsid w:val="005076E1"/>
    <w:rsid w:val="00510173"/>
    <w:rsid w:val="0052000B"/>
    <w:rsid w:val="005218B9"/>
    <w:rsid w:val="005242C9"/>
    <w:rsid w:val="00525E29"/>
    <w:rsid w:val="00525E2D"/>
    <w:rsid w:val="00541493"/>
    <w:rsid w:val="00556C2B"/>
    <w:rsid w:val="0056674C"/>
    <w:rsid w:val="00585038"/>
    <w:rsid w:val="00586812"/>
    <w:rsid w:val="00592F3B"/>
    <w:rsid w:val="00594867"/>
    <w:rsid w:val="0059663A"/>
    <w:rsid w:val="005968DD"/>
    <w:rsid w:val="00596979"/>
    <w:rsid w:val="005A66F2"/>
    <w:rsid w:val="005B05AD"/>
    <w:rsid w:val="005B2FE4"/>
    <w:rsid w:val="005B48FD"/>
    <w:rsid w:val="005B5E73"/>
    <w:rsid w:val="005C0D4E"/>
    <w:rsid w:val="005C2C7D"/>
    <w:rsid w:val="005C3ECC"/>
    <w:rsid w:val="005C4043"/>
    <w:rsid w:val="005C4F6D"/>
    <w:rsid w:val="005E1322"/>
    <w:rsid w:val="005E4ECE"/>
    <w:rsid w:val="005E4F3F"/>
    <w:rsid w:val="005E4FDD"/>
    <w:rsid w:val="005E662B"/>
    <w:rsid w:val="005F1F17"/>
    <w:rsid w:val="005F5D1E"/>
    <w:rsid w:val="00600C6D"/>
    <w:rsid w:val="006053D3"/>
    <w:rsid w:val="006053FE"/>
    <w:rsid w:val="00605447"/>
    <w:rsid w:val="00606EAA"/>
    <w:rsid w:val="00620C94"/>
    <w:rsid w:val="00620F5D"/>
    <w:rsid w:val="00621C60"/>
    <w:rsid w:val="00622CE4"/>
    <w:rsid w:val="00637C67"/>
    <w:rsid w:val="00640322"/>
    <w:rsid w:val="00642284"/>
    <w:rsid w:val="00660AEC"/>
    <w:rsid w:val="00667ED9"/>
    <w:rsid w:val="00670FBA"/>
    <w:rsid w:val="00671F20"/>
    <w:rsid w:val="00685E51"/>
    <w:rsid w:val="00686023"/>
    <w:rsid w:val="00696E24"/>
    <w:rsid w:val="006C39FA"/>
    <w:rsid w:val="006D3108"/>
    <w:rsid w:val="006D4C33"/>
    <w:rsid w:val="006D502E"/>
    <w:rsid w:val="006F0809"/>
    <w:rsid w:val="006F3FF1"/>
    <w:rsid w:val="006F7C2A"/>
    <w:rsid w:val="0070345A"/>
    <w:rsid w:val="00704739"/>
    <w:rsid w:val="007119E4"/>
    <w:rsid w:val="00735BB1"/>
    <w:rsid w:val="00735FF6"/>
    <w:rsid w:val="00740FCE"/>
    <w:rsid w:val="00741183"/>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E40A4"/>
    <w:rsid w:val="007F1F30"/>
    <w:rsid w:val="00800167"/>
    <w:rsid w:val="00814963"/>
    <w:rsid w:val="0082285E"/>
    <w:rsid w:val="008262D5"/>
    <w:rsid w:val="00827ACE"/>
    <w:rsid w:val="0083089E"/>
    <w:rsid w:val="00842F0A"/>
    <w:rsid w:val="00851E38"/>
    <w:rsid w:val="00857405"/>
    <w:rsid w:val="008704CA"/>
    <w:rsid w:val="00875999"/>
    <w:rsid w:val="008768C9"/>
    <w:rsid w:val="00882B52"/>
    <w:rsid w:val="008B0031"/>
    <w:rsid w:val="008C522D"/>
    <w:rsid w:val="008C7455"/>
    <w:rsid w:val="008D4405"/>
    <w:rsid w:val="008D676B"/>
    <w:rsid w:val="008D6EE1"/>
    <w:rsid w:val="008E6497"/>
    <w:rsid w:val="008E67ED"/>
    <w:rsid w:val="008F6195"/>
    <w:rsid w:val="00900842"/>
    <w:rsid w:val="0090626D"/>
    <w:rsid w:val="00910282"/>
    <w:rsid w:val="00920804"/>
    <w:rsid w:val="009241F6"/>
    <w:rsid w:val="00942E9E"/>
    <w:rsid w:val="0094301F"/>
    <w:rsid w:val="00954D36"/>
    <w:rsid w:val="00961C36"/>
    <w:rsid w:val="00964E7F"/>
    <w:rsid w:val="00965C4C"/>
    <w:rsid w:val="00966604"/>
    <w:rsid w:val="00971D4D"/>
    <w:rsid w:val="00973D19"/>
    <w:rsid w:val="00983D7C"/>
    <w:rsid w:val="00983FE3"/>
    <w:rsid w:val="009922CD"/>
    <w:rsid w:val="0099403E"/>
    <w:rsid w:val="00996351"/>
    <w:rsid w:val="009A2190"/>
    <w:rsid w:val="009B09EA"/>
    <w:rsid w:val="009B50DC"/>
    <w:rsid w:val="009B5D98"/>
    <w:rsid w:val="009C1A4B"/>
    <w:rsid w:val="009C2360"/>
    <w:rsid w:val="009D0F14"/>
    <w:rsid w:val="009D5071"/>
    <w:rsid w:val="009E4215"/>
    <w:rsid w:val="009F387C"/>
    <w:rsid w:val="009F47C3"/>
    <w:rsid w:val="00A0550B"/>
    <w:rsid w:val="00A10B4B"/>
    <w:rsid w:val="00A11A70"/>
    <w:rsid w:val="00A15A5D"/>
    <w:rsid w:val="00A1625F"/>
    <w:rsid w:val="00A17FD7"/>
    <w:rsid w:val="00A26640"/>
    <w:rsid w:val="00A402C3"/>
    <w:rsid w:val="00A42C3F"/>
    <w:rsid w:val="00A45F09"/>
    <w:rsid w:val="00A46368"/>
    <w:rsid w:val="00A47F73"/>
    <w:rsid w:val="00A50B09"/>
    <w:rsid w:val="00A5655C"/>
    <w:rsid w:val="00A625C4"/>
    <w:rsid w:val="00A73DC8"/>
    <w:rsid w:val="00AA7C54"/>
    <w:rsid w:val="00AB2A4D"/>
    <w:rsid w:val="00AB7F89"/>
    <w:rsid w:val="00AC3232"/>
    <w:rsid w:val="00AC7700"/>
    <w:rsid w:val="00AD0861"/>
    <w:rsid w:val="00AD4E20"/>
    <w:rsid w:val="00AD52C4"/>
    <w:rsid w:val="00AD76F0"/>
    <w:rsid w:val="00AE09CA"/>
    <w:rsid w:val="00AE647F"/>
    <w:rsid w:val="00AF20F2"/>
    <w:rsid w:val="00AF5383"/>
    <w:rsid w:val="00B065BB"/>
    <w:rsid w:val="00B074EC"/>
    <w:rsid w:val="00B16084"/>
    <w:rsid w:val="00B235A4"/>
    <w:rsid w:val="00B26E51"/>
    <w:rsid w:val="00B355DC"/>
    <w:rsid w:val="00B37F2C"/>
    <w:rsid w:val="00B41E20"/>
    <w:rsid w:val="00B433EB"/>
    <w:rsid w:val="00B81CE6"/>
    <w:rsid w:val="00BA0FA9"/>
    <w:rsid w:val="00BA6684"/>
    <w:rsid w:val="00BB0FD0"/>
    <w:rsid w:val="00BC2B00"/>
    <w:rsid w:val="00BD25CA"/>
    <w:rsid w:val="00BF057C"/>
    <w:rsid w:val="00BF7F04"/>
    <w:rsid w:val="00C00002"/>
    <w:rsid w:val="00C02867"/>
    <w:rsid w:val="00C137F0"/>
    <w:rsid w:val="00C1552C"/>
    <w:rsid w:val="00C16482"/>
    <w:rsid w:val="00C23B44"/>
    <w:rsid w:val="00C27BD6"/>
    <w:rsid w:val="00C3650E"/>
    <w:rsid w:val="00C41F76"/>
    <w:rsid w:val="00C5552D"/>
    <w:rsid w:val="00C562D9"/>
    <w:rsid w:val="00C56AF7"/>
    <w:rsid w:val="00C76E01"/>
    <w:rsid w:val="00C950DC"/>
    <w:rsid w:val="00C96A1A"/>
    <w:rsid w:val="00CA7147"/>
    <w:rsid w:val="00CB340A"/>
    <w:rsid w:val="00CB5F3F"/>
    <w:rsid w:val="00CC6283"/>
    <w:rsid w:val="00CD4836"/>
    <w:rsid w:val="00CE25D3"/>
    <w:rsid w:val="00CE5565"/>
    <w:rsid w:val="00CE5CFA"/>
    <w:rsid w:val="00CE6354"/>
    <w:rsid w:val="00CF1803"/>
    <w:rsid w:val="00CF651E"/>
    <w:rsid w:val="00CF7263"/>
    <w:rsid w:val="00D026FE"/>
    <w:rsid w:val="00D05B87"/>
    <w:rsid w:val="00D06C59"/>
    <w:rsid w:val="00D07218"/>
    <w:rsid w:val="00D278EE"/>
    <w:rsid w:val="00D3530F"/>
    <w:rsid w:val="00D354B2"/>
    <w:rsid w:val="00D356BB"/>
    <w:rsid w:val="00D44138"/>
    <w:rsid w:val="00D46FCA"/>
    <w:rsid w:val="00D508EE"/>
    <w:rsid w:val="00D55B05"/>
    <w:rsid w:val="00D56439"/>
    <w:rsid w:val="00D57ABB"/>
    <w:rsid w:val="00D668FE"/>
    <w:rsid w:val="00D67108"/>
    <w:rsid w:val="00D722EA"/>
    <w:rsid w:val="00D72B49"/>
    <w:rsid w:val="00D81E40"/>
    <w:rsid w:val="00D8765F"/>
    <w:rsid w:val="00D92F05"/>
    <w:rsid w:val="00D93DE2"/>
    <w:rsid w:val="00D94180"/>
    <w:rsid w:val="00D9516A"/>
    <w:rsid w:val="00DA3F9C"/>
    <w:rsid w:val="00DA5A4E"/>
    <w:rsid w:val="00DA64E0"/>
    <w:rsid w:val="00DB6747"/>
    <w:rsid w:val="00DD6B18"/>
    <w:rsid w:val="00DE1F96"/>
    <w:rsid w:val="00DF10CF"/>
    <w:rsid w:val="00E017BF"/>
    <w:rsid w:val="00E130F2"/>
    <w:rsid w:val="00E224E2"/>
    <w:rsid w:val="00E2737B"/>
    <w:rsid w:val="00E34BF0"/>
    <w:rsid w:val="00E474B3"/>
    <w:rsid w:val="00E5562E"/>
    <w:rsid w:val="00E56B8E"/>
    <w:rsid w:val="00E65FD5"/>
    <w:rsid w:val="00E721BA"/>
    <w:rsid w:val="00E80D15"/>
    <w:rsid w:val="00E81D0F"/>
    <w:rsid w:val="00E861B4"/>
    <w:rsid w:val="00E95F81"/>
    <w:rsid w:val="00EB6283"/>
    <w:rsid w:val="00EB7DFE"/>
    <w:rsid w:val="00ED600A"/>
    <w:rsid w:val="00EF160D"/>
    <w:rsid w:val="00EF6095"/>
    <w:rsid w:val="00F02C86"/>
    <w:rsid w:val="00F15653"/>
    <w:rsid w:val="00F25057"/>
    <w:rsid w:val="00F25C0B"/>
    <w:rsid w:val="00F30557"/>
    <w:rsid w:val="00F30691"/>
    <w:rsid w:val="00F31B00"/>
    <w:rsid w:val="00F367B4"/>
    <w:rsid w:val="00F44CCB"/>
    <w:rsid w:val="00F5487C"/>
    <w:rsid w:val="00F600D3"/>
    <w:rsid w:val="00F62902"/>
    <w:rsid w:val="00F62DAE"/>
    <w:rsid w:val="00F669DC"/>
    <w:rsid w:val="00F74F01"/>
    <w:rsid w:val="00F841C1"/>
    <w:rsid w:val="00F9506B"/>
    <w:rsid w:val="00FA06E0"/>
    <w:rsid w:val="00FB69E8"/>
    <w:rsid w:val="00FC0108"/>
    <w:rsid w:val="00FC1D29"/>
    <w:rsid w:val="00FC249A"/>
    <w:rsid w:val="00FF0D96"/>
    <w:rsid w:val="026E6F9B"/>
    <w:rsid w:val="05C50C80"/>
    <w:rsid w:val="0C81030D"/>
    <w:rsid w:val="105D4C86"/>
    <w:rsid w:val="10D1205C"/>
    <w:rsid w:val="125A6BF4"/>
    <w:rsid w:val="16942C7D"/>
    <w:rsid w:val="192634E2"/>
    <w:rsid w:val="1B837F96"/>
    <w:rsid w:val="1C980BEC"/>
    <w:rsid w:val="1DBA30FC"/>
    <w:rsid w:val="1EDA3852"/>
    <w:rsid w:val="1EE25903"/>
    <w:rsid w:val="21881CE4"/>
    <w:rsid w:val="250D4A1C"/>
    <w:rsid w:val="2570334C"/>
    <w:rsid w:val="28D20D4A"/>
    <w:rsid w:val="2A0D3F53"/>
    <w:rsid w:val="2EAD061C"/>
    <w:rsid w:val="2FA379D4"/>
    <w:rsid w:val="34435599"/>
    <w:rsid w:val="385A2887"/>
    <w:rsid w:val="39AD0584"/>
    <w:rsid w:val="3C907D69"/>
    <w:rsid w:val="3CB72EA2"/>
    <w:rsid w:val="3D8F1598"/>
    <w:rsid w:val="41BE30A4"/>
    <w:rsid w:val="454D5FC1"/>
    <w:rsid w:val="49104D46"/>
    <w:rsid w:val="4BB9615E"/>
    <w:rsid w:val="4D1D0577"/>
    <w:rsid w:val="501A3DA5"/>
    <w:rsid w:val="5CD3584F"/>
    <w:rsid w:val="62F57A66"/>
    <w:rsid w:val="734C50E8"/>
    <w:rsid w:val="744D4AD6"/>
    <w:rsid w:val="790D368B"/>
    <w:rsid w:val="7A036672"/>
    <w:rsid w:val="7A076088"/>
    <w:rsid w:val="7BC6228C"/>
    <w:rsid w:val="7F6A300A"/>
    <w:rsid w:val="7FBF72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Body Text"/>
    <w:basedOn w:val="1"/>
    <w:next w:val="6"/>
    <w:qFormat/>
    <w:uiPriority w:val="0"/>
    <w:rPr>
      <w:rFonts w:eastAsia="方正魏碑简体"/>
      <w:sz w:val="72"/>
    </w:rPr>
  </w:style>
  <w:style w:type="paragraph" w:styleId="6">
    <w:name w:val="toc 5"/>
    <w:basedOn w:val="1"/>
    <w:next w:val="1"/>
    <w:qFormat/>
    <w:uiPriority w:val="39"/>
    <w:pPr>
      <w:ind w:left="840"/>
      <w:jc w:val="left"/>
    </w:pPr>
    <w:rPr>
      <w:sz w:val="18"/>
      <w:szCs w:val="18"/>
    </w:rPr>
  </w:style>
  <w:style w:type="paragraph" w:styleId="7">
    <w:name w:val="Block Text"/>
    <w:basedOn w:val="1"/>
    <w:qFormat/>
    <w:uiPriority w:val="0"/>
    <w:pPr>
      <w:snapToGrid w:val="0"/>
      <w:spacing w:line="480" w:lineRule="atLeast"/>
      <w:ind w:left="-240" w:right="-447" w:firstLine="570"/>
      <w:jc w:val="both"/>
    </w:pPr>
    <w:rPr>
      <w:sz w:val="28"/>
    </w:rPr>
  </w:style>
  <w:style w:type="paragraph" w:styleId="8">
    <w:name w:val="Plain Text"/>
    <w:basedOn w:val="1"/>
    <w:qFormat/>
    <w:uiPriority w:val="0"/>
    <w:pPr>
      <w:adjustRightInd/>
      <w:spacing w:line="240" w:lineRule="auto"/>
      <w:jc w:val="both"/>
      <w:textAlignment w:val="auto"/>
    </w:pPr>
    <w:rPr>
      <w:rFonts w:ascii="宋体" w:hAnsi="Courier New"/>
      <w:kern w:val="2"/>
      <w:sz w:val="21"/>
    </w:rPr>
  </w:style>
  <w:style w:type="paragraph" w:styleId="9">
    <w:name w:val="footer"/>
    <w:basedOn w:val="1"/>
    <w:qFormat/>
    <w:uiPriority w:val="0"/>
    <w:pPr>
      <w:tabs>
        <w:tab w:val="center" w:pos="4153"/>
        <w:tab w:val="right" w:pos="8306"/>
      </w:tabs>
      <w:snapToGrid w:val="0"/>
      <w:spacing w:line="240" w:lineRule="atLeas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styleId="13">
    <w:name w:val="page number"/>
    <w:basedOn w:val="12"/>
    <w:qFormat/>
    <w:uiPriority w:val="0"/>
  </w:style>
  <w:style w:type="character" w:styleId="14">
    <w:name w:val="FollowedHyperlink"/>
    <w:basedOn w:val="12"/>
    <w:qFormat/>
    <w:uiPriority w:val="0"/>
    <w:rPr>
      <w:color w:val="3894C1"/>
      <w:u w:val="none"/>
    </w:rPr>
  </w:style>
  <w:style w:type="character" w:styleId="15">
    <w:name w:val="Hyperlink"/>
    <w:basedOn w:val="12"/>
    <w:qFormat/>
    <w:uiPriority w:val="0"/>
    <w:rPr>
      <w:color w:val="3894C1"/>
      <w:u w:val="none"/>
    </w:rPr>
  </w:style>
  <w:style w:type="paragraph" w:customStyle="1" w:styleId="16">
    <w:name w:val="BodyText"/>
    <w:basedOn w:val="1"/>
    <w:qFormat/>
    <w:uiPriority w:val="0"/>
    <w:pPr>
      <w:spacing w:after="120" w:line="240" w:lineRule="auto"/>
    </w:pPr>
    <w:rPr>
      <w:rFonts w:ascii="Calibri" w:hAnsi="Calibri" w:eastAsia="宋体"/>
      <w:color w:val="auto"/>
      <w:kern w:val="2"/>
      <w:sz w:val="21"/>
      <w:szCs w:val="24"/>
      <w:lang w:val="en-US" w:eastAsia="zh-CN" w:bidi="ar-SA"/>
    </w:rPr>
  </w:style>
  <w:style w:type="paragraph" w:customStyle="1" w:styleId="17">
    <w:name w:val=" Char"/>
    <w:basedOn w:val="1"/>
    <w:qFormat/>
    <w:uiPriority w:val="0"/>
    <w:rPr>
      <w:rFonts w:ascii="Tahoma" w:hAnsi="Tahoma"/>
    </w:rPr>
  </w:style>
  <w:style w:type="paragraph" w:customStyle="1" w:styleId="18">
    <w:name w:val=" Char Char Char1 Char Char Char Char Char Char Char Char Char Char"/>
    <w:basedOn w:val="1"/>
    <w:qFormat/>
    <w:uiPriority w:val="0"/>
    <w:rPr>
      <w:rFonts w:ascii="Tahoma" w:hAnsi="Tahoma"/>
    </w:rPr>
  </w:style>
  <w:style w:type="paragraph" w:customStyle="1" w:styleId="19">
    <w:name w:val=" Char Char Char1 Char Char Char3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列出段落"/>
    <w:basedOn w:val="1"/>
    <w:qFormat/>
    <w:uiPriority w:val="0"/>
    <w:pPr>
      <w:ind w:firstLine="420" w:firstLineChars="200"/>
    </w:pPr>
    <w:rPr>
      <w:rFonts w:ascii="Calibri" w:hAnsi="Calibri"/>
      <w:szCs w:val="22"/>
    </w:rPr>
  </w:style>
  <w:style w:type="paragraph" w:customStyle="1" w:styleId="22">
    <w:name w:val="样式5"/>
    <w:basedOn w:val="1"/>
    <w:qFormat/>
    <w:uiPriority w:val="0"/>
    <w:pPr>
      <w:jc w:val="left"/>
      <w:outlineLvl w:val="1"/>
    </w:pPr>
    <w:rPr>
      <w:b/>
      <w:bCs/>
      <w:kern w:val="28"/>
      <w:szCs w:val="32"/>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wisdri</Company>
  <Pages>6</Pages>
  <Words>2496</Words>
  <Characters>2879</Characters>
  <Lines>11</Lines>
  <Paragraphs>3</Paragraphs>
  <TotalTime>7</TotalTime>
  <ScaleCrop>false</ScaleCrop>
  <LinksUpToDate>false</LinksUpToDate>
  <CharactersWithSpaces>3430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2011-09-02T01:24:00Z</dcterms:created>
  <dc:creator>1</dc:creator>
  <cp:lastModifiedBy>付庭阁</cp:lastModifiedBy>
  <cp:lastPrinted>2010-06-13T03:59:00Z</cp:lastPrinted>
  <dcterms:modified xsi:type="dcterms:W3CDTF">2026-03-12T00:19:28Z</dcterms:modified>
  <dc:title>武钢新3号高炉铜冷却壁招标书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ICV">
    <vt:lpwstr>019E2A38BE7348ED881A4BA6271CAEE9_13</vt:lpwstr>
  </property>
  <property fmtid="{D5CDD505-2E9C-101B-9397-08002B2CF9AE}" pid="4" name="KSOTemplateDocerSaveRecord">
    <vt:lpwstr>eyJoZGlkIjoiYTkwYjk3ZDdmOTI3MWIxNmNhYjQ4YWMyNzNiY2Q3ZjciLCJ1c2VySWQiOiIxNTY4NjY4NzYzIn0=</vt:lpwstr>
  </property>
</Properties>
</file>